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Default ContentType="image/png" Extension="png"/>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4" Type="http://schemas.openxmlformats.org/officeDocument/2006/relationships/officeDocument" Target="word/document.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tabs>
          <w:tab w:val="left" w:pos="3828"/>
          <w:tab w:val="left" w:pos="5387"/>
        </w:tabs>
        <w:spacing w:after="0" w:line="240" w:lineRule="auto"/>
        <w:jc w:val="center"/>
        <w:rPr>
          <w:rFonts w:ascii="Arial" w:hAnsi="Arial" w:cs="Arial"/>
          <w:b/>
          <w:bCs/>
          <w:color w:val="000000"/>
        </w:rPr>
      </w:pPr>
      <w:r>
        <w:rPr>
          <w:rFonts w:ascii="Arial" w:hAnsi="Arial" w:cs="Arial"/>
          <w:b/>
          <w:bCs/>
          <w:color w:val="000000"/>
        </w:rPr>
        <w:t xml:space="preserve">ANALISIS PENGARUH KUALITAS PELAYANAN, KUALITAS PRODUK, KEPERCAYAAN, DAN NILAI NASABAH  TERHADAP </w:t>
      </w:r>
      <w:r>
        <w:rPr>
          <w:rFonts w:ascii="Arial" w:hAnsi="Arial" w:cs="Arial"/>
          <w:b/>
          <w:bCs/>
          <w:i/>
          <w:color w:val="000000"/>
        </w:rPr>
        <w:t>CUSTOMER RETENTION</w:t>
      </w:r>
      <w:r>
        <w:rPr>
          <w:rFonts w:ascii="Arial" w:hAnsi="Arial" w:cs="Arial"/>
          <w:b/>
          <w:bCs/>
          <w:color w:val="000000"/>
        </w:rPr>
        <w:t xml:space="preserve"> DENGAN KEPUASAN NASABAH SEBAGAI VARIABEL </w:t>
      </w:r>
      <w:r>
        <w:rPr>
          <w:rFonts w:ascii="Arial" w:hAnsi="Arial" w:cs="Arial"/>
          <w:b/>
          <w:bCs/>
          <w:i/>
          <w:color w:val="000000"/>
        </w:rPr>
        <w:t>INTERVENING</w:t>
      </w:r>
      <w:r>
        <w:rPr>
          <w:rFonts w:ascii="Arial" w:hAnsi="Arial" w:cs="Arial"/>
          <w:b/>
          <w:bCs/>
          <w:color w:val="000000"/>
        </w:rPr>
        <w:t xml:space="preserve"> PADA </w:t>
      </w:r>
    </w:p>
    <w:p>
      <w:pPr>
        <w:tabs>
          <w:tab w:val="left" w:pos="3828"/>
          <w:tab w:val="left" w:pos="5387"/>
        </w:tabs>
        <w:spacing w:after="0" w:line="240" w:lineRule="auto"/>
        <w:jc w:val="center"/>
        <w:rPr>
          <w:rFonts w:ascii="Arial" w:hAnsi="Arial" w:cs="Arial"/>
          <w:b/>
          <w:bCs/>
          <w:color w:val="000000"/>
        </w:rPr>
      </w:pPr>
      <w:r>
        <w:rPr>
          <w:rFonts w:ascii="Arial" w:hAnsi="Arial" w:cs="Arial"/>
          <w:b/>
          <w:bCs/>
          <w:color w:val="000000"/>
        </w:rPr>
        <w:t>PT BANK BRISYARIAH KANTOR CABANG PEMBANTU UNGARAN</w:t>
      </w:r>
    </w:p>
    <w:p>
      <w:pPr>
        <w:spacing w:after="0" w:line="240" w:lineRule="auto"/>
        <w:jc w:val="center"/>
        <w:rPr>
          <w:rFonts w:ascii="Arial" w:hAnsi="Arial" w:cs="Arial"/>
          <w:color w:val="000000"/>
        </w:rPr>
      </w:pPr>
    </w:p>
    <w:p>
      <w:pPr>
        <w:spacing w:after="0" w:line="240" w:lineRule="auto"/>
        <w:jc w:val="center"/>
        <w:rPr>
          <w:rFonts w:ascii="Arial" w:hAnsi="Arial" w:cs="Arial"/>
          <w:color w:val="000000"/>
        </w:rPr>
      </w:pPr>
      <w:r>
        <w:rPr>
          <w:rFonts w:ascii="Arial" w:hAnsi="Arial" w:cs="Arial"/>
          <w:color w:val="000000"/>
        </w:rPr>
        <w:t>Ratih Fatmawati *)</w:t>
      </w:r>
    </w:p>
    <w:p>
      <w:pPr>
        <w:spacing w:after="0" w:line="240" w:lineRule="auto"/>
        <w:jc w:val="center"/>
        <w:rPr>
          <w:rFonts w:ascii="Arial" w:hAnsi="Arial" w:cs="Arial"/>
          <w:color w:val="000000"/>
        </w:rPr>
      </w:pPr>
      <w:r>
        <w:rPr>
          <w:rFonts w:ascii="Arial" w:hAnsi="Arial" w:cs="Arial"/>
          <w:color w:val="000000"/>
        </w:rPr>
        <w:t xml:space="preserve">Jati Handayani </w:t>
      </w:r>
      <w:r>
        <w:rPr>
          <w:rFonts w:ascii="Arial" w:hAnsi="Arial" w:eastAsia="Times New Roman" w:cs="Arial"/>
          <w:color w:val="000000"/>
          <w:lang/>
        </w:rPr>
        <w:t>**)</w:t>
      </w:r>
    </w:p>
    <w:p>
      <w:pPr>
        <w:spacing w:after="120" w:line="240" w:lineRule="auto"/>
        <w:jc w:val="center"/>
        <w:rPr>
          <w:rFonts w:ascii="Arial" w:hAnsi="Arial" w:cs="Arial"/>
          <w:b/>
          <w:iCs/>
          <w:color w:val="000000"/>
        </w:rPr>
      </w:pPr>
    </w:p>
    <w:p>
      <w:pPr>
        <w:spacing w:after="0" w:line="240" w:lineRule="auto"/>
        <w:jc w:val="center"/>
        <w:rPr>
          <w:rFonts w:ascii="Arial" w:hAnsi="Arial" w:cs="Arial"/>
          <w:b/>
          <w:i/>
          <w:color w:val="000000"/>
        </w:rPr>
      </w:pPr>
      <w:r>
        <w:rPr>
          <w:rFonts w:ascii="Arial" w:hAnsi="Arial" w:cs="Arial"/>
          <w:b/>
          <w:i/>
          <w:color w:val="000000"/>
        </w:rPr>
        <w:t>Abstract</w:t>
      </w:r>
    </w:p>
    <w:p>
      <w:pPr>
        <w:pStyle w:val="12"/>
        <w:spacing w:after="0" w:line="240" w:lineRule="auto"/>
        <w:ind w:left="0"/>
        <w:jc w:val="both"/>
        <w:rPr>
          <w:rFonts w:ascii="Arial" w:hAnsi="Arial" w:cs="Arial"/>
          <w:i/>
          <w:color w:val="000000"/>
        </w:rPr>
      </w:pPr>
      <w:r>
        <w:rPr>
          <w:rFonts w:ascii="Arial" w:hAnsi="Arial" w:cs="Arial"/>
          <w:i/>
          <w:color w:val="000000"/>
        </w:rPr>
        <w:t>The research’s aim to analyze the influence significant variable of service quality, service product, trust, and customer value toward customer retention with customer satisfaction as intervening in the PT Bank BRISharia Ungaran Branch Office.</w:t>
      </w:r>
    </w:p>
    <w:p>
      <w:pPr>
        <w:pStyle w:val="12"/>
        <w:spacing w:after="0" w:line="240" w:lineRule="auto"/>
        <w:ind w:left="0"/>
        <w:jc w:val="both"/>
        <w:rPr>
          <w:rFonts w:ascii="Arial" w:hAnsi="Arial" w:cs="Arial"/>
          <w:i/>
          <w:color w:val="000000"/>
        </w:rPr>
      </w:pPr>
      <w:r>
        <w:rPr>
          <w:rFonts w:ascii="Arial" w:hAnsi="Arial" w:cs="Arial"/>
          <w:i/>
          <w:color w:val="000000"/>
        </w:rPr>
        <w:t>The population in this research were all of saving customers in the PT Bank BRISharia Ungaran Branch Office. The sampling technique were used judgmental sampling method. The samples in this research were 145 saving customers PT Bank BRISharia Ungaran Branch Office. Model of analysis in this research using Structural Equation Model</w:t>
      </w:r>
      <w:r>
        <w:rPr>
          <w:rFonts w:ascii="Arial" w:hAnsi="Arial" w:cs="Arial"/>
          <w:color w:val="000000"/>
        </w:rPr>
        <w:t xml:space="preserve"> (SEM)</w:t>
      </w:r>
      <w:r>
        <w:rPr>
          <w:rFonts w:ascii="Arial" w:hAnsi="Arial" w:cs="Arial"/>
          <w:i/>
          <w:color w:val="000000"/>
        </w:rPr>
        <w:t>. While the analysis techniques in this study using t test with computer program AMOS 22.0.</w:t>
      </w:r>
    </w:p>
    <w:p>
      <w:pPr>
        <w:pStyle w:val="12"/>
        <w:spacing w:after="0" w:line="240" w:lineRule="auto"/>
        <w:ind w:left="0"/>
        <w:jc w:val="both"/>
        <w:rPr>
          <w:rFonts w:ascii="Arial" w:hAnsi="Arial" w:cs="Arial"/>
          <w:i/>
          <w:color w:val="000000"/>
        </w:rPr>
      </w:pPr>
      <w:r>
        <w:rPr>
          <w:rFonts w:ascii="Arial" w:hAnsi="Arial" w:cs="Arial"/>
          <w:i/>
          <w:color w:val="000000"/>
        </w:rPr>
        <w:t>The result in this research showed that service quality influences positive and significant toward customer satisfaction, product quality influences positive and significant toward customer satisfaction, trust influences positive and significant toward customer satisfaction, customer value influences negative and not significant  toward customer satisfaction, and customer satisfaction influences positive and significant toward customer retention.</w:t>
      </w:r>
    </w:p>
    <w:p>
      <w:pPr>
        <w:pStyle w:val="12"/>
        <w:spacing w:before="240" w:after="0" w:line="240" w:lineRule="auto"/>
        <w:ind w:left="1134" w:hanging="1134"/>
        <w:jc w:val="both"/>
        <w:rPr>
          <w:rFonts w:ascii="Arial" w:hAnsi="Arial" w:cs="Arial"/>
          <w:color w:val="000000"/>
        </w:rPr>
      </w:pPr>
      <w:r>
        <w:rPr>
          <w:rFonts w:ascii="Arial" w:hAnsi="Arial" w:cs="Arial"/>
          <w:b/>
          <w:i/>
          <w:color w:val="000000"/>
        </w:rPr>
        <w:t>Keywords:</w:t>
      </w:r>
      <w:r>
        <w:rPr>
          <w:rFonts w:ascii="Arial" w:hAnsi="Arial" w:cs="Arial"/>
          <w:b/>
          <w:i/>
          <w:color w:val="000000"/>
        </w:rPr>
        <w:tab/>
      </w:r>
      <w:r>
        <w:rPr>
          <w:rFonts w:ascii="Arial" w:hAnsi="Arial" w:cs="Arial"/>
          <w:i/>
          <w:color w:val="000000"/>
        </w:rPr>
        <w:t>Service Quality, Product Quality, Trust, Customer Value, Customer Satisfaction, and Customer Retention.</w:t>
      </w:r>
    </w:p>
    <w:p>
      <w:pPr>
        <w:spacing w:before="240" w:after="0" w:line="240" w:lineRule="auto"/>
        <w:ind w:left="426" w:hanging="426"/>
        <w:jc w:val="both"/>
        <w:rPr>
          <w:rFonts w:ascii="Arial" w:hAnsi="Arial" w:cs="Arial"/>
          <w:color w:val="000000"/>
        </w:rPr>
      </w:pPr>
      <w:r>
        <w:rPr>
          <w:rFonts w:ascii="Arial" w:hAnsi="Arial" w:cs="Arial"/>
          <w:color w:val="000000"/>
        </w:rPr>
        <w:t xml:space="preserve">*)  </w:t>
      </w:r>
      <w:r>
        <w:rPr>
          <w:rFonts w:ascii="Arial" w:hAnsi="Arial" w:cs="Arial"/>
          <w:color w:val="FFFFFF"/>
        </w:rPr>
        <w:t>.</w:t>
      </w:r>
      <w:r>
        <w:rPr>
          <w:rFonts w:ascii="Arial" w:hAnsi="Arial" w:cs="Arial"/>
          <w:color w:val="000000"/>
        </w:rPr>
        <w:t>Anggota Kelompok Studi Ekonomi Islam Polines, Mahasiswa Prodi Perbankan Syariah 2011 Polines.</w:t>
      </w:r>
    </w:p>
    <w:p>
      <w:pPr>
        <w:spacing w:after="0" w:line="240" w:lineRule="auto"/>
        <w:ind w:left="1134" w:hanging="1134"/>
        <w:rPr>
          <w:rFonts w:ascii="Arial" w:hAnsi="Arial" w:cs="Arial"/>
          <w:color w:val="000000"/>
        </w:rPr>
      </w:pPr>
      <w:r>
        <w:rPr>
          <w:rFonts w:ascii="Arial" w:hAnsi="Arial" w:cs="Arial"/>
          <w:color w:val="000000"/>
        </w:rPr>
        <w:t>**)   Dosen Jurusan Akuntansi Politeknik Negeri Semarang.</w:t>
      </w:r>
    </w:p>
    <w:p>
      <w:pPr>
        <w:spacing w:line="240" w:lineRule="auto"/>
        <w:ind w:left="1134" w:hanging="1134"/>
        <w:rPr>
          <w:rFonts w:ascii="Arial" w:hAnsi="Arial" w:cs="Arial"/>
          <w:b/>
          <w:color w:val="000000"/>
        </w:rPr>
      </w:pPr>
    </w:p>
    <w:p>
      <w:pPr>
        <w:spacing w:after="120" w:line="240" w:lineRule="auto"/>
        <w:rPr>
          <w:rFonts w:ascii="Arial" w:hAnsi="Arial" w:cs="Arial"/>
          <w:b/>
          <w:color w:val="000000"/>
        </w:rPr>
        <w:sectPr>
          <w:footerReference r:id="rId4" w:type="default"/>
          <w:type w:val="continuous"/>
          <w:pgSz w:w="11907" w:h="16839"/>
          <w:pgMar w:top="1701" w:right="1701" w:bottom="1701" w:left="1701" w:header="720" w:footer="720" w:gutter="0"/>
          <w:cols w:space="425" w:num="1"/>
          <w:docGrid w:linePitch="360" w:charSpace="0"/>
        </w:sectPr>
      </w:pPr>
    </w:p>
    <w:p>
      <w:pPr>
        <w:spacing w:after="0" w:line="240" w:lineRule="auto"/>
        <w:rPr>
          <w:rFonts w:ascii="Arial" w:hAnsi="Arial" w:cs="Arial"/>
          <w:b/>
          <w:color w:val="000000"/>
        </w:rPr>
      </w:pPr>
      <w:r>
        <w:rPr>
          <w:rFonts w:ascii="Arial" w:hAnsi="Arial" w:cs="Arial"/>
          <w:b/>
          <w:color w:val="000000"/>
        </w:rPr>
        <w:t>PENDAHULUAN</w:t>
      </w:r>
    </w:p>
    <w:p>
      <w:pPr>
        <w:spacing w:after="0" w:line="240" w:lineRule="auto"/>
        <w:rPr>
          <w:rFonts w:ascii="Arial" w:hAnsi="Arial" w:cs="Arial"/>
          <w:b/>
          <w:color w:val="000000"/>
        </w:rPr>
      </w:pPr>
      <w:r>
        <w:rPr>
          <w:rFonts w:ascii="Arial" w:hAnsi="Arial" w:cs="Arial"/>
          <w:b/>
          <w:color w:val="000000"/>
        </w:rPr>
        <w:t>Latar Belakang Masalah</w:t>
      </w:r>
    </w:p>
    <w:p>
      <w:pPr>
        <w:spacing w:after="0" w:line="240" w:lineRule="auto"/>
        <w:ind w:firstLine="426"/>
        <w:jc w:val="both"/>
        <w:rPr>
          <w:rFonts w:ascii="Arial" w:hAnsi="Arial" w:cs="Arial"/>
          <w:color w:val="000000"/>
        </w:rPr>
      </w:pPr>
      <w:r>
        <w:rPr>
          <w:rFonts w:ascii="Arial" w:hAnsi="Arial" w:cs="Arial"/>
          <w:color w:val="000000"/>
        </w:rPr>
        <w:t xml:space="preserve">Perkembangan perbankan syariah dapat ditandai dengan semakin banyak bank syariah di Indonesia, hal ini berarti menimbulkan banyaknya persaingan antar bank syariah. Persaingan tidak hanya antar bank syariah, persaingan dengan bank konvensional pun perlu diperhatikan juga dalam meningkatkan pangsa pasar untuk masing-masing produk. Pada kenyataannya, pemahaman dan sosialisasi masyarakat tentang produk dan sistem perbankan syariah di Indonesia masih sangat terbatas. Hal ini didukung oleh data yang dipublikasikan di Majalah Medan Bisnis, Kamis 21 Agustus 2014 yang menyatakan bahwa hingga sekarang pengembangan industri keuangan syariah hanya mencapai 5 % dari total pangsa pasar perbankan secara nasional (Medan Bisnis, 21 Agustus 2014). </w:t>
      </w:r>
    </w:p>
    <w:p>
      <w:pPr>
        <w:spacing w:after="0" w:line="240" w:lineRule="auto"/>
        <w:ind w:firstLine="426"/>
        <w:jc w:val="both"/>
        <w:rPr>
          <w:rFonts w:ascii="Arial" w:hAnsi="Arial" w:cs="Arial"/>
          <w:color w:val="000000"/>
        </w:rPr>
      </w:pPr>
      <w:r>
        <w:rPr>
          <w:rFonts w:ascii="Arial" w:hAnsi="Arial" w:cs="Arial"/>
          <w:color w:val="000000"/>
        </w:rPr>
        <w:t>Masih rendahnya pertumbuhan pangsa pasar bank syariah di Indonesia serta tingginya persaingan, membuat bank syariah perlu menyusun strategi yang tepat dalam menghadapi hal tersebut. Strategi yang biasanya dilakukan bank syariah adalah dengan melakukan pemasaran besar-besaran untuk memperoleh nasabah baru. Hal ini akan cenderung meningkatkan biaya, sedangkan jika bank syariah berusaha mempertahankan pangsa pasar dengan berfokus pada mempertahankan nasabah yang sudah ada akan lebih menguntungkan (Kotler, 2002: 58).</w:t>
      </w:r>
    </w:p>
    <w:p>
      <w:pPr>
        <w:spacing w:after="0" w:line="240" w:lineRule="auto"/>
        <w:ind w:firstLine="426"/>
        <w:jc w:val="both"/>
        <w:rPr>
          <w:rFonts w:ascii="Arial" w:hAnsi="Arial" w:cs="Arial"/>
          <w:color w:val="000000"/>
        </w:rPr>
      </w:pPr>
      <w:r>
        <w:rPr>
          <w:rFonts w:ascii="Arial" w:hAnsi="Arial" w:cs="Arial"/>
          <w:color w:val="000000"/>
        </w:rPr>
        <w:t xml:space="preserve">Menurut Tjiptono (2011: 459) yang merujuk pada Levitt (1987), tujuan utama setiap bisnis adalah menciptakan dan mempertahankan pelanggan. Dalam praktiknya, banyak perusahaan yang jauh lebih mengutamakan penciptaan pelanggan baru daripada retensi pelanggan yang sudah ada. Mempertahankan nasabah disebut  juga dengan  retensi pelanggan atau </w:t>
      </w:r>
      <w:r>
        <w:rPr>
          <w:rFonts w:ascii="Arial" w:hAnsi="Arial" w:cs="Arial"/>
          <w:i/>
          <w:color w:val="000000"/>
        </w:rPr>
        <w:t>customer retention.</w:t>
      </w:r>
      <w:r>
        <w:rPr>
          <w:rFonts w:ascii="Arial" w:hAnsi="Arial" w:cs="Arial"/>
          <w:color w:val="000000"/>
        </w:rPr>
        <w:t xml:space="preserve"> </w:t>
      </w:r>
    </w:p>
    <w:p>
      <w:pPr>
        <w:spacing w:after="0" w:line="240" w:lineRule="auto"/>
        <w:ind w:firstLine="426"/>
        <w:jc w:val="both"/>
        <w:rPr>
          <w:rFonts w:ascii="Arial" w:hAnsi="Arial" w:cs="Arial"/>
          <w:color w:val="000000"/>
        </w:rPr>
      </w:pPr>
      <w:r>
        <w:rPr>
          <w:rFonts w:ascii="Arial" w:hAnsi="Arial" w:cs="Arial"/>
          <w:color w:val="000000"/>
        </w:rPr>
        <w:t xml:space="preserve">Menciptakan </w:t>
      </w:r>
      <w:r>
        <w:rPr>
          <w:rFonts w:ascii="Arial" w:hAnsi="Arial" w:cs="Arial"/>
          <w:i/>
          <w:color w:val="000000"/>
        </w:rPr>
        <w:t xml:space="preserve">customer retention </w:t>
      </w:r>
      <w:r>
        <w:rPr>
          <w:rFonts w:ascii="Arial" w:hAnsi="Arial" w:cs="Arial"/>
          <w:color w:val="000000"/>
        </w:rPr>
        <w:t xml:space="preserve">pada sebuah bank syariah diperlukan pendukung agar hasil yang tercipta memuaskan, kunci bagi </w:t>
      </w:r>
      <w:r>
        <w:rPr>
          <w:rFonts w:ascii="Arial" w:hAnsi="Arial" w:cs="Arial"/>
          <w:i/>
          <w:color w:val="000000"/>
        </w:rPr>
        <w:t xml:space="preserve">customer retention </w:t>
      </w:r>
      <w:r>
        <w:rPr>
          <w:rFonts w:ascii="Arial" w:hAnsi="Arial" w:cs="Arial"/>
          <w:color w:val="000000"/>
        </w:rPr>
        <w:t xml:space="preserve">adalah kepuasan nasabah (Kotler, 2002: 56). Menurut Esti, </w:t>
      </w:r>
      <w:r>
        <w:rPr>
          <w:rFonts w:ascii="Arial" w:hAnsi="Arial" w:cs="Arial"/>
          <w:i/>
          <w:color w:val="000000"/>
        </w:rPr>
        <w:t>et al</w:t>
      </w:r>
      <w:r>
        <w:rPr>
          <w:rFonts w:ascii="Arial" w:hAnsi="Arial" w:cs="Arial"/>
          <w:color w:val="000000"/>
        </w:rPr>
        <w:t xml:space="preserve"> (2013), dalam upaya menciptakan retensi pelanggan, perusahaan perlu memperhatikan, menelusuri, dan mempelajari kepuasan pelanggan.</w:t>
      </w:r>
    </w:p>
    <w:p>
      <w:pPr>
        <w:spacing w:after="0" w:line="240" w:lineRule="auto"/>
        <w:ind w:firstLine="426"/>
        <w:jc w:val="both"/>
        <w:rPr>
          <w:rFonts w:ascii="Arial" w:hAnsi="Arial" w:cs="Arial"/>
          <w:color w:val="000000"/>
        </w:rPr>
      </w:pPr>
      <w:r>
        <w:rPr>
          <w:rFonts w:ascii="Arial" w:hAnsi="Arial" w:cs="Arial"/>
          <w:color w:val="000000"/>
        </w:rPr>
        <w:t>Menurut Kotler (2002: 57), pelanggan yang sangat puas dapat tetap setia lebih lama, membeli lebih banyak ketika perusahaan memperkenalkan produk baru dan memperbaharui produk-produk yang ada, membicarakan hal-hal yang baik tentang perusahaan dan produk-produknya, memberi perhatian yang lebih sedikit kepada merek-merek dan iklan-iklan pesaing serta kurang peka terhadap harga, menawarkan gagasan jasa atau produk kepada perusahaan, dan biaya untuk pelayanannya lebih kecil dibandingkan biaya pelanggan baru karena transaksi yang sudah rutin.</w:t>
      </w:r>
    </w:p>
    <w:p>
      <w:pPr>
        <w:spacing w:after="0" w:line="240" w:lineRule="auto"/>
        <w:ind w:firstLine="426"/>
        <w:jc w:val="both"/>
        <w:rPr>
          <w:rFonts w:ascii="Arial" w:hAnsi="Arial" w:cs="Arial"/>
          <w:color w:val="000000"/>
        </w:rPr>
      </w:pPr>
      <w:r>
        <w:rPr>
          <w:rFonts w:ascii="Arial" w:hAnsi="Arial" w:cs="Arial"/>
          <w:color w:val="000000"/>
        </w:rPr>
        <w:t xml:space="preserve">Kepuasan nasabah yang akan dibangun bank syariah dipengaruhi oleh beberapa faktor antara lain, kualitas pelayanan (Othman </w:t>
      </w:r>
      <w:r>
        <w:rPr>
          <w:rFonts w:ascii="Arial" w:hAnsi="Arial" w:cs="Arial"/>
          <w:i/>
          <w:color w:val="000000"/>
        </w:rPr>
        <w:t xml:space="preserve">and </w:t>
      </w:r>
      <w:r>
        <w:rPr>
          <w:rFonts w:ascii="Arial" w:hAnsi="Arial" w:cs="Arial"/>
          <w:color w:val="000000"/>
        </w:rPr>
        <w:t xml:space="preserve">Owen, 2001; Hasanah, 2013; dan Ismail, 2014). Menurut Hasanah (2013), kualitas pelayanan merupakan suatu bentuk penilaian konsumen terhadap tingkat pelayanan yang diterima dengan tingkat layanan yang diharapkan. Astuti, </w:t>
      </w:r>
      <w:r>
        <w:rPr>
          <w:rFonts w:ascii="Arial" w:hAnsi="Arial" w:cs="Arial"/>
          <w:i/>
          <w:color w:val="000000"/>
        </w:rPr>
        <w:t>et al</w:t>
      </w:r>
      <w:r>
        <w:rPr>
          <w:rFonts w:ascii="Arial" w:hAnsi="Arial" w:cs="Arial"/>
          <w:color w:val="000000"/>
        </w:rPr>
        <w:t xml:space="preserve"> (2009) menyatakan bahwa dengan meningkatkan kualitas, tentu saja akan memberi keuntungan pada bank syariah, di antaranya meningkatkan kepuasan nasabah.</w:t>
      </w:r>
    </w:p>
    <w:p>
      <w:pPr>
        <w:spacing w:after="0" w:line="240" w:lineRule="auto"/>
        <w:ind w:firstLine="426"/>
        <w:jc w:val="both"/>
        <w:rPr>
          <w:rFonts w:ascii="Arial" w:hAnsi="Arial" w:cs="Arial"/>
          <w:color w:val="000000"/>
        </w:rPr>
      </w:pPr>
      <w:r>
        <w:rPr>
          <w:rFonts w:ascii="Arial" w:hAnsi="Arial" w:cs="Arial"/>
          <w:color w:val="000000"/>
        </w:rPr>
        <w:t>Faktor kedua yang mempengaruhi kepuasan nasabah adalah kualitas produk (Hidayat, 2010; Tumangkeng, 2013; Endarwita, 2013; dan Ismail, 2014). Kualitas produk adalah semua hal yang dapat ditawarkan kepada pasar untuk menarik perhatian, akuisisi, dan penggunaan atau dikonsumsi yang dapat memuaskan keinginan atau kebutuhan (Kotler dan Armstrong, 2008: 266). Tumangkeng (2013) menyatakan bahwa perusahaan hanya dapat eksis dan bertahan bila mempunyai produk-produk yang berkualitas dengan pesaingnya. Semakin puas seorang nasabah dalam mengkonsumsi suatu produk perbankan maka dapat dikatakan semakin berkualitas produk perbankan (Hidayat, 2009).</w:t>
      </w:r>
    </w:p>
    <w:p>
      <w:pPr>
        <w:spacing w:after="0" w:line="240" w:lineRule="auto"/>
        <w:ind w:firstLine="426"/>
        <w:jc w:val="both"/>
        <w:rPr>
          <w:rFonts w:ascii="Arial" w:hAnsi="Arial" w:eastAsia="Times New Roman" w:cs="Arial"/>
          <w:color w:val="000000"/>
        </w:rPr>
      </w:pPr>
      <w:r>
        <w:rPr>
          <w:rFonts w:ascii="Arial" w:hAnsi="Arial" w:cs="Arial"/>
          <w:color w:val="000000"/>
        </w:rPr>
        <w:t xml:space="preserve">Faktor selanjutnya yang mempengaruhi kepuasan nasabah adalah kepercayaan (Junusi, 2009; Elsandra dan Efriyuzal, 2013; dan Sungkawa, 2014). </w:t>
      </w:r>
      <w:r>
        <w:rPr>
          <w:rFonts w:ascii="Arial" w:hAnsi="Arial" w:cs="Arial"/>
          <w:bCs/>
          <w:color w:val="000000"/>
        </w:rPr>
        <w:t xml:space="preserve">Menurut Junusi (2009), pengalaman dan informasi yang baik akan menumbuhkan kepercayaan konsumen terhadap suatu produk maupun layanan jasa. Hal ini dikarenakan pengalaman yang terbentuk pada memori konsumen terhadap produk atau jasa dapat membangun rasa percaya seseorang. </w:t>
      </w:r>
      <w:r>
        <w:rPr>
          <w:rFonts w:ascii="Arial" w:hAnsi="Arial" w:eastAsia="Times New Roman" w:cs="Arial"/>
          <w:color w:val="000000"/>
        </w:rPr>
        <w:t>Jika konsumen tidak percaya pada penyedia berdasarkan pengalaman masa lalu, maka ia akan merasa tidak puas dengan penyedia itu. Oleh karena itu, kepercayaan dapat mempengaruhi kepuasan konsumen.</w:t>
      </w:r>
    </w:p>
    <w:p>
      <w:pPr>
        <w:spacing w:after="0" w:line="240" w:lineRule="auto"/>
        <w:ind w:firstLine="426"/>
        <w:jc w:val="both"/>
        <w:rPr>
          <w:rFonts w:ascii="Arial" w:hAnsi="Arial" w:cs="Arial"/>
          <w:bCs/>
          <w:color w:val="000000"/>
        </w:rPr>
      </w:pPr>
      <w:r>
        <w:rPr>
          <w:rFonts w:ascii="Arial" w:hAnsi="Arial" w:cs="Arial"/>
          <w:color w:val="000000"/>
        </w:rPr>
        <w:t xml:space="preserve">Faktor terakhir yang mempengaruhi kepuasan nasabah adalah nilai nasabah (Afiff </w:t>
      </w:r>
      <w:r>
        <w:rPr>
          <w:rFonts w:ascii="Arial" w:hAnsi="Arial" w:cs="Arial"/>
          <w:i/>
          <w:color w:val="000000"/>
        </w:rPr>
        <w:t>and</w:t>
      </w:r>
      <w:r>
        <w:rPr>
          <w:rFonts w:ascii="Arial" w:hAnsi="Arial" w:cs="Arial"/>
          <w:color w:val="000000"/>
        </w:rPr>
        <w:t xml:space="preserve"> Astuti, 2009; Hidayat, 2009; dan Ika dan Noor, 2013). Menurut Tjiptono (2011: 374) yang merujuk Monroe (1990), nilai pelanggan adalah </w:t>
      </w:r>
      <w:r>
        <w:rPr>
          <w:rFonts w:ascii="Arial" w:hAnsi="Arial" w:cs="Arial"/>
          <w:i/>
          <w:color w:val="000000"/>
        </w:rPr>
        <w:t xml:space="preserve">trade off </w:t>
      </w:r>
      <w:r>
        <w:rPr>
          <w:rFonts w:ascii="Arial" w:hAnsi="Arial" w:cs="Arial"/>
          <w:color w:val="000000"/>
        </w:rPr>
        <w:t xml:space="preserve">antara persepsi pelanggan terhadap kualitas atau manfaat produk dan pengorbanan yang dilakukan lewat harga yang dibayarkan. </w:t>
      </w:r>
      <w:r>
        <w:rPr>
          <w:rFonts w:ascii="Arial" w:hAnsi="Arial" w:cs="Arial"/>
          <w:bCs/>
          <w:color w:val="000000"/>
        </w:rPr>
        <w:t xml:space="preserve">Penelitian Afiff </w:t>
      </w:r>
      <w:r>
        <w:rPr>
          <w:rFonts w:ascii="Arial" w:hAnsi="Arial" w:cs="Arial"/>
          <w:bCs/>
          <w:i/>
          <w:color w:val="000000"/>
        </w:rPr>
        <w:t>and</w:t>
      </w:r>
      <w:r>
        <w:rPr>
          <w:rFonts w:ascii="Arial" w:hAnsi="Arial" w:cs="Arial"/>
          <w:bCs/>
          <w:color w:val="000000"/>
        </w:rPr>
        <w:t xml:space="preserve"> Astuti (2009) menunjukkan bahwa nilai nasabah memiliki dampak yang positif terhadap pembentukan kepuasan nasabah dan kinerja perbankan yang lebih baik, serta menambahkan dimensi spiritual dalam pembentukan nilai pelanggan selain dimensi fungsional, dimensi sosial, dan dimensi emosional dari nilai pelanggan yang sudah dilakukan pengujian dalam penelitian sebelumnya, antara nilai pelanggan yang memiliki hubungan dengan kepuasan pelanggan.</w:t>
      </w:r>
    </w:p>
    <w:p>
      <w:pPr>
        <w:spacing w:after="0" w:line="240" w:lineRule="auto"/>
        <w:ind w:firstLine="426"/>
        <w:jc w:val="both"/>
        <w:rPr>
          <w:rFonts w:ascii="Arial" w:hAnsi="Arial" w:cs="Arial"/>
          <w:color w:val="000000"/>
        </w:rPr>
      </w:pPr>
      <w:r>
        <w:rPr>
          <w:rFonts w:ascii="Arial" w:hAnsi="Arial" w:cs="Arial"/>
          <w:color w:val="000000"/>
        </w:rPr>
        <w:t xml:space="preserve">Permasalahan yang dihadapi PT Bank BRISyariah berdasarkan data </w:t>
      </w:r>
      <w:r>
        <w:rPr>
          <w:rFonts w:ascii="Arial" w:hAnsi="Arial" w:cs="Arial"/>
          <w:i/>
          <w:color w:val="000000"/>
        </w:rPr>
        <w:t>Indonesian Bank Loyalty</w:t>
      </w:r>
      <w:r>
        <w:rPr>
          <w:rFonts w:ascii="Arial" w:hAnsi="Arial" w:cs="Arial"/>
          <w:color w:val="000000"/>
        </w:rPr>
        <w:t xml:space="preserve"> </w:t>
      </w:r>
      <w:r>
        <w:rPr>
          <w:rFonts w:ascii="Arial" w:hAnsi="Arial" w:cs="Arial"/>
          <w:i/>
          <w:color w:val="000000"/>
        </w:rPr>
        <w:t xml:space="preserve">Index </w:t>
      </w:r>
      <w:r>
        <w:rPr>
          <w:rFonts w:ascii="Arial" w:hAnsi="Arial" w:cs="Arial"/>
          <w:color w:val="000000"/>
        </w:rPr>
        <w:t xml:space="preserve">pada tahun 2014, yaitu (1) Penurunan peringkat </w:t>
      </w:r>
      <w:r>
        <w:rPr>
          <w:rFonts w:ascii="Arial" w:hAnsi="Arial" w:cs="Arial"/>
          <w:i/>
          <w:color w:val="000000"/>
        </w:rPr>
        <w:t xml:space="preserve">Sharia Bank </w:t>
      </w:r>
      <w:r>
        <w:rPr>
          <w:rFonts w:ascii="Arial" w:hAnsi="Arial" w:cs="Arial"/>
          <w:color w:val="000000"/>
        </w:rPr>
        <w:t>(</w:t>
      </w:r>
      <w:r>
        <w:rPr>
          <w:rFonts w:ascii="Arial" w:hAnsi="Arial" w:cs="Arial"/>
          <w:i/>
          <w:color w:val="000000"/>
        </w:rPr>
        <w:t>Saving Account</w:t>
      </w:r>
      <w:r>
        <w:rPr>
          <w:rFonts w:ascii="Arial" w:hAnsi="Arial" w:cs="Arial"/>
          <w:color w:val="000000"/>
        </w:rPr>
        <w:t>)-</w:t>
      </w:r>
      <w:r>
        <w:rPr>
          <w:rFonts w:ascii="Arial" w:hAnsi="Arial" w:cs="Arial"/>
          <w:i/>
          <w:color w:val="000000"/>
        </w:rPr>
        <w:t>Customer Relationship (Retention) Index</w:t>
      </w:r>
      <w:r>
        <w:rPr>
          <w:rFonts w:ascii="Arial" w:hAnsi="Arial" w:cs="Arial"/>
          <w:color w:val="000000"/>
        </w:rPr>
        <w:t xml:space="preserve"> pada PT Bank BRISyariah yaitu tahun 2014 memperoleh peringkat 7 (tujuh) yang sebelumnya pada tahun 2013 memperoleh peringkat 3 (tiga). (2) Turunnya tingkat kepuasan PT Bank BRISyariah dalam </w:t>
      </w:r>
      <w:r>
        <w:rPr>
          <w:rFonts w:ascii="Arial" w:hAnsi="Arial" w:cs="Arial"/>
          <w:i/>
          <w:color w:val="000000"/>
        </w:rPr>
        <w:t>Indonesian Bank Loyalty Index</w:t>
      </w:r>
      <w:r>
        <w:rPr>
          <w:rFonts w:ascii="Arial" w:hAnsi="Arial" w:cs="Arial"/>
          <w:color w:val="000000"/>
        </w:rPr>
        <w:t xml:space="preserve"> pada tahun 2014 mencapai peringkat 7 (tujuh) yang sebelumnya pada tahun 2013 memperoleh peringkat 2 (dua). (3) Selanjutnya, turunnya </w:t>
      </w:r>
      <w:r>
        <w:rPr>
          <w:rFonts w:ascii="Arial" w:hAnsi="Arial" w:cs="Arial"/>
          <w:i/>
          <w:color w:val="000000"/>
        </w:rPr>
        <w:t>customer transaction index</w:t>
      </w:r>
      <w:r>
        <w:rPr>
          <w:rFonts w:ascii="Arial" w:hAnsi="Arial" w:cs="Arial"/>
          <w:color w:val="000000"/>
        </w:rPr>
        <w:t xml:space="preserve"> pada tahun 2014 </w:t>
      </w:r>
      <w:r>
        <w:rPr>
          <w:rFonts w:ascii="Arial" w:hAnsi="Arial" w:cs="Arial"/>
          <w:bCs/>
          <w:color w:val="000000"/>
        </w:rPr>
        <w:t>mencapai 73,17 yang sebelumnya pada tahun 2013 mencapai 74,14</w:t>
      </w:r>
      <w:r>
        <w:rPr>
          <w:rFonts w:ascii="Arial" w:hAnsi="Arial" w:cs="Arial"/>
          <w:color w:val="000000"/>
        </w:rPr>
        <w:t xml:space="preserve">. Kemudian, berdasarkan data </w:t>
      </w:r>
      <w:r>
        <w:rPr>
          <w:rFonts w:ascii="Arial" w:hAnsi="Arial" w:cs="Arial"/>
          <w:i/>
          <w:color w:val="000000"/>
        </w:rPr>
        <w:t>Top Brand Award</w:t>
      </w:r>
      <w:r>
        <w:rPr>
          <w:rFonts w:ascii="Arial" w:hAnsi="Arial" w:cs="Arial"/>
          <w:color w:val="000000"/>
        </w:rPr>
        <w:t xml:space="preserve">, yaitu menurunnya peringkat </w:t>
      </w:r>
      <w:r>
        <w:rPr>
          <w:rFonts w:ascii="Arial" w:hAnsi="Arial" w:cs="Arial"/>
          <w:bCs/>
          <w:i/>
          <w:color w:val="000000"/>
        </w:rPr>
        <w:t>Top Brand Award</w:t>
      </w:r>
      <w:r>
        <w:rPr>
          <w:rFonts w:ascii="Arial" w:hAnsi="Arial" w:cs="Arial"/>
          <w:bCs/>
          <w:color w:val="000000"/>
        </w:rPr>
        <w:t>-Kategori Tabungan Syariah tahun 2014 yang mendapat peringkat 2 (dua) yang sebelumnya pada tahun 2013 mendapat peringkat 1 (satu).</w:t>
      </w:r>
    </w:p>
    <w:p>
      <w:pPr>
        <w:pStyle w:val="14"/>
        <w:spacing w:before="240"/>
        <w:jc w:val="both"/>
        <w:rPr>
          <w:rFonts w:ascii="Arial" w:hAnsi="Arial" w:cs="Arial"/>
          <w:b/>
          <w:color w:val="000000"/>
          <w:sz w:val="22"/>
          <w:szCs w:val="22"/>
          <w:lang/>
        </w:rPr>
      </w:pPr>
      <w:r>
        <w:rPr>
          <w:rFonts w:ascii="Arial" w:hAnsi="Arial" w:cs="Arial"/>
          <w:b/>
          <w:color w:val="000000"/>
          <w:sz w:val="22"/>
          <w:szCs w:val="22"/>
        </w:rPr>
        <w:t>Per</w:t>
      </w:r>
      <w:r>
        <w:rPr>
          <w:rFonts w:ascii="Arial" w:hAnsi="Arial" w:cs="Arial"/>
          <w:b/>
          <w:color w:val="000000"/>
          <w:sz w:val="22"/>
          <w:szCs w:val="22"/>
          <w:lang/>
        </w:rPr>
        <w:t xml:space="preserve">umusan Masalah </w:t>
      </w:r>
    </w:p>
    <w:p>
      <w:pPr>
        <w:pStyle w:val="14"/>
        <w:ind w:firstLine="426"/>
        <w:jc w:val="both"/>
        <w:rPr>
          <w:rFonts w:ascii="Arial" w:hAnsi="Arial" w:cs="Arial"/>
          <w:color w:val="000000"/>
          <w:sz w:val="22"/>
          <w:szCs w:val="22"/>
        </w:rPr>
      </w:pPr>
      <w:r>
        <w:rPr>
          <w:rFonts w:ascii="Arial" w:hAnsi="Arial" w:cs="Arial"/>
          <w:color w:val="000000"/>
          <w:sz w:val="22"/>
          <w:szCs w:val="22"/>
          <w:lang/>
        </w:rPr>
        <w:t xml:space="preserve">Berdasar permasalahan di atas, maka muncul pertanyaan penelitian, yaitu bagaimana signifikansi pengaruh variabel kualitas pelayanan, kualitas produk, kepercayaan, dan nilai nasabah terhadap kepuasan nasabah pada PT Bank BRISyariah Kantor Cabang Pembantu Ungaran. </w:t>
      </w:r>
      <w:r>
        <w:rPr>
          <w:rFonts w:ascii="Arial" w:hAnsi="Arial" w:cs="Arial"/>
          <w:color w:val="000000"/>
          <w:sz w:val="22"/>
          <w:szCs w:val="22"/>
        </w:rPr>
        <w:t xml:space="preserve">Selain itu, </w:t>
      </w:r>
      <w:r>
        <w:rPr>
          <w:rFonts w:ascii="Arial" w:hAnsi="Arial" w:cs="Arial"/>
          <w:color w:val="000000"/>
          <w:sz w:val="22"/>
          <w:szCs w:val="22"/>
          <w:lang/>
        </w:rPr>
        <w:t xml:space="preserve">bagaimana </w:t>
      </w:r>
      <w:r>
        <w:rPr>
          <w:rFonts w:ascii="Arial" w:hAnsi="Arial" w:cs="Arial"/>
          <w:color w:val="000000"/>
          <w:sz w:val="22"/>
          <w:szCs w:val="22"/>
        </w:rPr>
        <w:t xml:space="preserve">signifikansi pengaruh variabel kepuasan nasabah terhadap </w:t>
      </w:r>
      <w:r>
        <w:rPr>
          <w:rFonts w:ascii="Arial" w:hAnsi="Arial" w:cs="Arial"/>
          <w:i/>
          <w:color w:val="000000"/>
          <w:sz w:val="22"/>
          <w:szCs w:val="22"/>
        </w:rPr>
        <w:t xml:space="preserve">customer retention </w:t>
      </w:r>
      <w:r>
        <w:rPr>
          <w:rFonts w:ascii="Arial" w:hAnsi="Arial" w:cs="Arial"/>
          <w:color w:val="000000"/>
          <w:sz w:val="22"/>
          <w:szCs w:val="22"/>
        </w:rPr>
        <w:t xml:space="preserve">pada PT Bank BRISyariah Kantor Cabang Pembantu Ungaran. </w:t>
      </w:r>
    </w:p>
    <w:p>
      <w:pPr>
        <w:pStyle w:val="14"/>
        <w:spacing w:before="240"/>
        <w:jc w:val="both"/>
        <w:rPr>
          <w:rFonts w:ascii="Arial" w:hAnsi="Arial" w:cs="Arial"/>
          <w:color w:val="000000"/>
          <w:sz w:val="22"/>
          <w:szCs w:val="22"/>
        </w:rPr>
      </w:pPr>
      <w:r>
        <w:rPr>
          <w:rFonts w:ascii="Arial" w:hAnsi="Arial" w:cs="Arial"/>
          <w:b/>
          <w:color w:val="000000"/>
          <w:sz w:val="22"/>
          <w:szCs w:val="22"/>
          <w:lang/>
        </w:rPr>
        <w:t>TINJAUAN PUSTAKA</w:t>
      </w:r>
    </w:p>
    <w:p>
      <w:pPr>
        <w:pStyle w:val="14"/>
        <w:jc w:val="both"/>
        <w:rPr>
          <w:rFonts w:ascii="Arial" w:hAnsi="Arial" w:cs="Arial"/>
          <w:b/>
          <w:color w:val="000000"/>
          <w:sz w:val="22"/>
          <w:szCs w:val="22"/>
          <w:lang/>
        </w:rPr>
      </w:pPr>
      <w:r>
        <w:rPr>
          <w:rFonts w:ascii="Arial" w:hAnsi="Arial" w:cs="Arial"/>
          <w:b/>
          <w:color w:val="000000"/>
          <w:sz w:val="22"/>
          <w:szCs w:val="22"/>
          <w:lang/>
        </w:rPr>
        <w:t xml:space="preserve">Kualitas </w:t>
      </w:r>
      <w:r>
        <w:rPr>
          <w:rFonts w:ascii="Arial" w:hAnsi="Arial" w:cs="Arial"/>
          <w:b/>
          <w:color w:val="000000"/>
          <w:sz w:val="22"/>
          <w:szCs w:val="22"/>
        </w:rPr>
        <w:t>Pel</w:t>
      </w:r>
      <w:r>
        <w:rPr>
          <w:rFonts w:ascii="Arial" w:hAnsi="Arial" w:cs="Arial"/>
          <w:b/>
          <w:color w:val="000000"/>
          <w:sz w:val="22"/>
          <w:szCs w:val="22"/>
          <w:lang/>
        </w:rPr>
        <w:t>ayanan</w:t>
      </w:r>
    </w:p>
    <w:p>
      <w:pPr>
        <w:spacing w:after="0" w:line="240" w:lineRule="auto"/>
        <w:ind w:firstLine="426"/>
        <w:jc w:val="both"/>
        <w:rPr>
          <w:rFonts w:ascii="Arial" w:hAnsi="Arial" w:cs="Arial"/>
          <w:color w:val="000000"/>
        </w:rPr>
      </w:pPr>
      <w:r>
        <w:rPr>
          <w:rFonts w:ascii="Arial" w:hAnsi="Arial" w:cs="Arial"/>
          <w:color w:val="000000"/>
        </w:rPr>
        <w:t xml:space="preserve">Kualitas pelayanan sebagai kemampuan merencanakan, menciptakan, dan menyerahkan produk yang bermanfaat luar biasa bagi pelanggan. Kualitas pelayanan merupakan ciri dan sifat dari pelayanan yang berpengaruh pada kemampuan karyawan untuk memuaskan kebutuhan yang dinyatakan oleh pelanggan atau yang tersirat dalam diri pelanggan (Hasan, 2010: 91). Menurut Zeithaml, </w:t>
      </w:r>
      <w:r>
        <w:rPr>
          <w:rFonts w:ascii="Arial" w:hAnsi="Arial" w:cs="Arial"/>
          <w:i/>
          <w:color w:val="000000"/>
        </w:rPr>
        <w:t>et al</w:t>
      </w:r>
      <w:r>
        <w:rPr>
          <w:rFonts w:ascii="Arial" w:hAnsi="Arial" w:cs="Arial"/>
          <w:color w:val="000000"/>
        </w:rPr>
        <w:t xml:space="preserve"> (1996) dalam Lupiyoadi (2013: 216), keberhasilan perusahaan dalam memberikan jasa yang berkualitas kepada pelanggannya, pencapaian pasar yang tinggi, dan peningkatan laba perusahaan tersebut sangat ditentukan oleh pendekatan yang digunakan.</w:t>
      </w:r>
    </w:p>
    <w:p>
      <w:pPr>
        <w:tabs>
          <w:tab w:val="left" w:pos="426"/>
        </w:tabs>
        <w:spacing w:after="0" w:line="240" w:lineRule="auto"/>
        <w:ind w:firstLine="426"/>
        <w:jc w:val="both"/>
        <w:rPr>
          <w:rFonts w:ascii="Arial" w:hAnsi="Arial" w:cs="Arial"/>
          <w:color w:val="000000"/>
        </w:rPr>
      </w:pPr>
      <w:r>
        <w:rPr>
          <w:rFonts w:ascii="Arial" w:hAnsi="Arial" w:cs="Arial"/>
          <w:color w:val="000000"/>
        </w:rPr>
        <w:t>Menurut Lupiyoadi (2013: 216), salah satu pendekatan kualitas jasa yang banyak dijadikan acuan dalam riset pemasaran adalah model SERVQUAL (</w:t>
      </w:r>
      <w:r>
        <w:rPr>
          <w:rFonts w:ascii="Arial" w:hAnsi="Arial" w:cs="Arial"/>
          <w:i/>
          <w:color w:val="000000"/>
        </w:rPr>
        <w:t>Service Quality</w:t>
      </w:r>
      <w:r>
        <w:rPr>
          <w:rFonts w:ascii="Arial" w:hAnsi="Arial" w:cs="Arial"/>
          <w:color w:val="000000"/>
        </w:rPr>
        <w:t xml:space="preserve">) yang dikembangkan oleh Parasuraman, </w:t>
      </w:r>
      <w:r>
        <w:rPr>
          <w:rFonts w:ascii="Arial" w:hAnsi="Arial" w:cs="Arial"/>
          <w:i/>
          <w:color w:val="000000"/>
        </w:rPr>
        <w:t>et al</w:t>
      </w:r>
      <w:r>
        <w:rPr>
          <w:rFonts w:ascii="Arial" w:hAnsi="Arial" w:cs="Arial"/>
          <w:color w:val="000000"/>
        </w:rPr>
        <w:t xml:space="preserve"> meliputi </w:t>
      </w:r>
      <w:r>
        <w:rPr>
          <w:rFonts w:ascii="Arial" w:hAnsi="Arial" w:cs="Arial"/>
          <w:i/>
          <w:color w:val="000000"/>
        </w:rPr>
        <w:t>tangible, reliability, responsiveness, assurance</w:t>
      </w:r>
      <w:r>
        <w:rPr>
          <w:rFonts w:ascii="Arial" w:hAnsi="Arial" w:cs="Arial"/>
          <w:color w:val="000000"/>
        </w:rPr>
        <w:t>,</w:t>
      </w:r>
      <w:r>
        <w:rPr>
          <w:rFonts w:ascii="Arial" w:hAnsi="Arial" w:cs="Arial"/>
          <w:i/>
          <w:color w:val="000000"/>
        </w:rPr>
        <w:t xml:space="preserve"> </w:t>
      </w:r>
      <w:r>
        <w:rPr>
          <w:rFonts w:ascii="Arial" w:hAnsi="Arial" w:cs="Arial"/>
          <w:color w:val="000000"/>
        </w:rPr>
        <w:t xml:space="preserve">dan </w:t>
      </w:r>
      <w:r>
        <w:rPr>
          <w:rFonts w:ascii="Arial" w:hAnsi="Arial" w:cs="Arial"/>
          <w:i/>
          <w:color w:val="000000"/>
        </w:rPr>
        <w:t>emphaty</w:t>
      </w:r>
      <w:r>
        <w:rPr>
          <w:rFonts w:ascii="Arial" w:hAnsi="Arial" w:cs="Arial"/>
          <w:color w:val="000000"/>
        </w:rPr>
        <w:t>. SERVQUAL dibangun atas adanya perbandingan dua faktor utama, yaitu persepsi pelanggan atas layanan yang nyata mereka terima (</w:t>
      </w:r>
      <w:r>
        <w:rPr>
          <w:rFonts w:ascii="Arial" w:hAnsi="Arial" w:cs="Arial"/>
          <w:i/>
          <w:color w:val="000000"/>
        </w:rPr>
        <w:t>perceived service</w:t>
      </w:r>
      <w:r>
        <w:rPr>
          <w:rFonts w:ascii="Arial" w:hAnsi="Arial" w:cs="Arial"/>
          <w:color w:val="000000"/>
        </w:rPr>
        <w:t>) dengan layanan yang sesungguhnya diharapkan (</w:t>
      </w:r>
      <w:r>
        <w:rPr>
          <w:rFonts w:ascii="Arial" w:hAnsi="Arial" w:cs="Arial"/>
          <w:i/>
          <w:color w:val="000000"/>
        </w:rPr>
        <w:t>expected service</w:t>
      </w:r>
      <w:r>
        <w:rPr>
          <w:rFonts w:ascii="Arial" w:hAnsi="Arial" w:cs="Arial"/>
          <w:color w:val="000000"/>
        </w:rPr>
        <w:t>).</w:t>
      </w:r>
    </w:p>
    <w:p>
      <w:pPr>
        <w:tabs>
          <w:tab w:val="left" w:pos="426"/>
        </w:tabs>
        <w:spacing w:after="0" w:line="240" w:lineRule="auto"/>
        <w:ind w:firstLine="426"/>
        <w:jc w:val="both"/>
        <w:rPr>
          <w:rFonts w:ascii="Arial" w:hAnsi="Arial" w:cs="Arial"/>
          <w:color w:val="000000"/>
        </w:rPr>
      </w:pPr>
      <w:r>
        <w:rPr>
          <w:rFonts w:ascii="Arial" w:hAnsi="Arial" w:cs="Arial"/>
          <w:color w:val="000000"/>
        </w:rPr>
        <w:t xml:space="preserve">Penelitian Othman dan Owen (2001), telah memperkenalkan 6 (enam) dimensi untuk mengukur kualitas jasa pada lembaga keuangan syariah. Metode ini menggunakan 5 (lima) dimensi yang terdapat dalam SERVQUAL dan menambahkan dimensi </w:t>
      </w:r>
      <w:r>
        <w:rPr>
          <w:rFonts w:ascii="Arial" w:hAnsi="Arial" w:cs="Arial"/>
          <w:i/>
          <w:color w:val="000000"/>
        </w:rPr>
        <w:t>compliance</w:t>
      </w:r>
      <w:r>
        <w:rPr>
          <w:rFonts w:ascii="Arial" w:hAnsi="Arial" w:cs="Arial"/>
          <w:color w:val="000000"/>
        </w:rPr>
        <w:t xml:space="preserve">/kepatuhan (kepatuhan terhadap syariat Islam) di dalamnya. Keenam dimensi tersebut dikenal dengan CARTER model, yaitu </w:t>
      </w:r>
      <w:r>
        <w:rPr>
          <w:rFonts w:ascii="Arial" w:hAnsi="Arial" w:cs="Arial"/>
          <w:i/>
          <w:color w:val="000000"/>
        </w:rPr>
        <w:t xml:space="preserve">compliance, assurance, reliability, tangible, empathy, </w:t>
      </w:r>
      <w:r>
        <w:rPr>
          <w:rFonts w:ascii="Arial" w:hAnsi="Arial" w:cs="Arial"/>
          <w:color w:val="000000"/>
        </w:rPr>
        <w:t xml:space="preserve">dan </w:t>
      </w:r>
      <w:r>
        <w:rPr>
          <w:rFonts w:ascii="Arial" w:hAnsi="Arial" w:cs="Arial"/>
          <w:i/>
          <w:color w:val="000000"/>
        </w:rPr>
        <w:t xml:space="preserve">responsiveness </w:t>
      </w:r>
      <w:r>
        <w:rPr>
          <w:rFonts w:ascii="Arial" w:hAnsi="Arial" w:cs="Arial"/>
          <w:color w:val="000000"/>
        </w:rPr>
        <w:t xml:space="preserve">(CARTER). </w:t>
      </w:r>
    </w:p>
    <w:p>
      <w:pPr>
        <w:spacing w:before="240" w:after="0" w:line="240" w:lineRule="auto"/>
        <w:jc w:val="both"/>
        <w:rPr>
          <w:rFonts w:ascii="Arial" w:hAnsi="Arial" w:cs="Arial"/>
          <w:b/>
          <w:color w:val="000000"/>
        </w:rPr>
      </w:pPr>
      <w:r>
        <w:rPr>
          <w:rFonts w:ascii="Arial" w:hAnsi="Arial" w:cs="Arial"/>
          <w:b/>
          <w:color w:val="000000"/>
        </w:rPr>
        <w:t>Kualitas Produk</w:t>
      </w:r>
    </w:p>
    <w:p>
      <w:pPr>
        <w:shd w:val="clear" w:color="auto" w:fill="FFFFFF"/>
        <w:spacing w:after="0" w:line="240" w:lineRule="auto"/>
        <w:ind w:firstLine="426"/>
        <w:jc w:val="both"/>
        <w:rPr>
          <w:rFonts w:ascii="Arial" w:hAnsi="Arial" w:cs="Arial"/>
          <w:color w:val="000000"/>
        </w:rPr>
      </w:pPr>
      <w:r>
        <w:rPr>
          <w:rFonts w:ascii="Arial" w:hAnsi="Arial" w:cs="Arial"/>
          <w:color w:val="000000"/>
        </w:rPr>
        <w:t>Perkumpulan Amerika untuk Kualitas (</w:t>
      </w:r>
      <w:r>
        <w:rPr>
          <w:rFonts w:ascii="Arial" w:hAnsi="Arial" w:cs="Arial"/>
          <w:i/>
          <w:color w:val="000000"/>
        </w:rPr>
        <w:t>The American Society for Quality</w:t>
      </w:r>
      <w:r>
        <w:rPr>
          <w:rFonts w:ascii="Arial" w:hAnsi="Arial" w:cs="Arial"/>
          <w:color w:val="000000"/>
        </w:rPr>
        <w:t>) mendefinisikan kualitas sebagai karakteristik produk atau jasa yang bergantung pada kemampuannya untuk memuaskan kebutuhan pelanggan yang dinyatakan atau tersirat. Siemens juga mendefiniskan kualitas sebagai ketika pelanggan kita kembali dan produk kita tidak kembali (Kotler dan Armstrong, 2008: 273). Sedangkan produk merupakan segala sesuatu yang dapat ditawarkan produsen untuk diperhatikan, diminta, dicari, dibeli, dan digunakan atau dikonsumsi pasar sebagai pemenuhan kebutuhan atau keinginan pasar yang bersangkutan (Tjiptono, 2008: 95).</w:t>
      </w:r>
    </w:p>
    <w:p>
      <w:pPr>
        <w:shd w:val="clear" w:color="auto" w:fill="FFFFFF"/>
        <w:spacing w:after="0" w:line="240" w:lineRule="auto"/>
        <w:ind w:firstLine="426"/>
        <w:jc w:val="both"/>
        <w:rPr>
          <w:rFonts w:ascii="Arial" w:hAnsi="Arial" w:cs="Arial"/>
          <w:color w:val="000000"/>
        </w:rPr>
      </w:pPr>
      <w:r>
        <w:rPr>
          <w:rFonts w:ascii="Arial" w:hAnsi="Arial" w:cs="Arial"/>
          <w:color w:val="000000"/>
        </w:rPr>
        <w:t>Menurut Kotler dan Armstrong (2008: 272), kualitas produk sebagai karakteristik produk atau jasa yang bergantung pada kemampuannya untuk memuaskan kebutuhan pelanggan yang dinyatakan atau diimplikasikan.</w:t>
      </w:r>
    </w:p>
    <w:p>
      <w:pPr>
        <w:shd w:val="clear" w:color="auto" w:fill="FFFFFF"/>
        <w:spacing w:before="240" w:after="0" w:line="240" w:lineRule="auto"/>
        <w:jc w:val="both"/>
        <w:rPr>
          <w:rFonts w:ascii="Arial" w:hAnsi="Arial" w:eastAsia="Times New Roman" w:cs="Arial"/>
          <w:b/>
          <w:iCs/>
          <w:color w:val="000000"/>
          <w:lang/>
        </w:rPr>
      </w:pPr>
      <w:r>
        <w:rPr>
          <w:rFonts w:ascii="Arial" w:hAnsi="Arial" w:eastAsia="Times New Roman" w:cs="Arial"/>
          <w:b/>
          <w:iCs/>
          <w:color w:val="000000"/>
          <w:lang/>
        </w:rPr>
        <w:t>Kepercayaan</w:t>
      </w:r>
    </w:p>
    <w:p>
      <w:pPr>
        <w:shd w:val="clear" w:color="auto" w:fill="FFFFFF"/>
        <w:spacing w:after="0" w:line="240" w:lineRule="auto"/>
        <w:ind w:firstLine="426"/>
        <w:jc w:val="both"/>
        <w:rPr>
          <w:rFonts w:ascii="Arial" w:hAnsi="Arial" w:cs="Arial"/>
          <w:bCs/>
          <w:color w:val="000000"/>
        </w:rPr>
      </w:pPr>
      <w:r>
        <w:rPr>
          <w:rFonts w:ascii="Arial" w:hAnsi="Arial" w:cs="Arial"/>
          <w:bCs/>
          <w:color w:val="000000"/>
        </w:rPr>
        <w:t xml:space="preserve">Kepercayaan dapat diartikan sebagai derajat seseorang yang percaya menaruh sikap positif terhadap keinginan baik dan kehandalan orang lain yang dipercaya di dalam situasi yang berubah-ubah dan berisiko (Das </w:t>
      </w:r>
      <w:r>
        <w:rPr>
          <w:rFonts w:ascii="Arial" w:hAnsi="Arial" w:cs="Arial"/>
          <w:bCs/>
          <w:i/>
          <w:color w:val="000000"/>
        </w:rPr>
        <w:t>and</w:t>
      </w:r>
      <w:r>
        <w:rPr>
          <w:rFonts w:ascii="Arial" w:hAnsi="Arial" w:cs="Arial"/>
          <w:bCs/>
          <w:color w:val="000000"/>
        </w:rPr>
        <w:t xml:space="preserve"> Teng, 1998).</w:t>
      </w:r>
      <w:r>
        <w:rPr>
          <w:rFonts w:ascii="Arial" w:hAnsi="Arial" w:cs="Arial"/>
          <w:b/>
          <w:color w:val="000000"/>
        </w:rPr>
        <w:t xml:space="preserve"> </w:t>
      </w:r>
      <w:r>
        <w:rPr>
          <w:rFonts w:ascii="Arial" w:hAnsi="Arial" w:cs="Arial"/>
          <w:bCs/>
          <w:color w:val="000000"/>
        </w:rPr>
        <w:t xml:space="preserve">Menurut Elsandra dan Efriyuzal (2013), kepercayaan adalah percaya dan memiliki keyakinan terhadap </w:t>
      </w:r>
      <w:r>
        <w:rPr>
          <w:rFonts w:ascii="Arial" w:hAnsi="Arial" w:cs="Arial"/>
          <w:bCs/>
          <w:i/>
          <w:color w:val="000000"/>
        </w:rPr>
        <w:t xml:space="preserve">partner </w:t>
      </w:r>
      <w:r>
        <w:rPr>
          <w:rFonts w:ascii="Arial" w:hAnsi="Arial" w:cs="Arial"/>
          <w:bCs/>
          <w:color w:val="000000"/>
        </w:rPr>
        <w:t>dalam hubungan karena memiliki kredibilitas dan kebajikan. Kredibilitas menunjukkan kepercayaan yang didapat dari pihak lain karena memiliki keahlian yang dikehendaki untuk melakukan suatu tugas dan kepercayaan yang didapat karena melakukan cara yang baik kepada pihak lain dalam suatu hubungan.</w:t>
      </w:r>
    </w:p>
    <w:p>
      <w:pPr>
        <w:shd w:val="clear" w:color="auto" w:fill="FFFFFF"/>
        <w:spacing w:before="240" w:after="0" w:line="240" w:lineRule="auto"/>
        <w:jc w:val="both"/>
        <w:rPr>
          <w:rFonts w:ascii="Arial" w:hAnsi="Arial" w:cs="Arial"/>
          <w:color w:val="000000"/>
        </w:rPr>
      </w:pPr>
      <w:r>
        <w:rPr>
          <w:rFonts w:ascii="Arial" w:hAnsi="Arial" w:cs="Arial"/>
          <w:b/>
          <w:color w:val="000000"/>
        </w:rPr>
        <w:t>Nilai Nasabah</w:t>
      </w:r>
    </w:p>
    <w:p>
      <w:pPr>
        <w:shd w:val="clear" w:color="auto" w:fill="FFFFFF"/>
        <w:spacing w:after="0" w:line="240" w:lineRule="auto"/>
        <w:ind w:firstLine="426"/>
        <w:jc w:val="both"/>
        <w:rPr>
          <w:rFonts w:ascii="Arial" w:hAnsi="Arial" w:cs="Arial"/>
          <w:bCs/>
          <w:color w:val="000000"/>
        </w:rPr>
      </w:pPr>
      <w:r>
        <w:rPr>
          <w:rFonts w:ascii="Arial" w:hAnsi="Arial" w:cs="Arial"/>
          <w:bCs/>
          <w:color w:val="000000"/>
        </w:rPr>
        <w:t>Kotler dan Armstrong (2001: 12) menyatakan bahwa nilai pelanggan merupakan selisih antara nilai yang diperoleh pelanggan melalui memiliki dan menggunakan suatu produk dengan biaya yang dikeluarkan untuk memperoleh produk tersebut. Hidayat (2009) menyatakan bahwa nilai bagi nasabah juga dilihat sebagai cerminan dari kualitas, manfaat, dan pengorbanan yang diberikan untuk mendapatkan sebuah produk atau layanan. Sebuah produk atau layanan perbankan dikatakan mempunyai nilai yang tinggi di mata nasabah apabila mampu memberikan kualitas, manfaat, dan pengorbanan yang seminimal mungkin.</w:t>
      </w:r>
    </w:p>
    <w:p>
      <w:pPr>
        <w:shd w:val="clear" w:color="auto" w:fill="FFFFFF"/>
        <w:spacing w:after="0" w:line="240" w:lineRule="auto"/>
        <w:ind w:firstLine="426"/>
        <w:jc w:val="both"/>
        <w:rPr>
          <w:rFonts w:ascii="Arial" w:hAnsi="Arial" w:cs="Arial"/>
          <w:bCs/>
          <w:color w:val="000000"/>
        </w:rPr>
      </w:pPr>
      <w:r>
        <w:rPr>
          <w:rFonts w:ascii="Arial" w:hAnsi="Arial" w:cs="Arial"/>
          <w:bCs/>
          <w:color w:val="000000"/>
        </w:rPr>
        <w:t xml:space="preserve">Menurut Tjiptono (2011: 376) yang merujuk pada hasil penelitian Sweeney </w:t>
      </w:r>
      <w:r>
        <w:rPr>
          <w:rFonts w:ascii="Arial" w:hAnsi="Arial" w:cs="Arial"/>
          <w:bCs/>
          <w:i/>
          <w:color w:val="000000"/>
        </w:rPr>
        <w:t xml:space="preserve">and </w:t>
      </w:r>
      <w:r>
        <w:rPr>
          <w:rFonts w:ascii="Arial" w:hAnsi="Arial" w:cs="Arial"/>
          <w:bCs/>
          <w:color w:val="000000"/>
        </w:rPr>
        <w:t xml:space="preserve">Soutar (2001), dimensi nilai pelanggan terdiri atas (4) empat aspek utama, yaitu: (1) </w:t>
      </w:r>
      <w:r>
        <w:rPr>
          <w:rFonts w:ascii="Arial" w:hAnsi="Arial" w:cs="Arial"/>
          <w:bCs/>
          <w:i/>
          <w:color w:val="000000"/>
        </w:rPr>
        <w:t>Emotional Value</w:t>
      </w:r>
      <w:r>
        <w:rPr>
          <w:rFonts w:ascii="Arial" w:hAnsi="Arial" w:cs="Arial"/>
          <w:bCs/>
          <w:color w:val="000000"/>
        </w:rPr>
        <w:t xml:space="preserve">. (2) </w:t>
      </w:r>
      <w:r>
        <w:rPr>
          <w:rFonts w:ascii="Arial" w:hAnsi="Arial" w:cs="Arial"/>
          <w:bCs/>
          <w:i/>
          <w:color w:val="000000"/>
        </w:rPr>
        <w:t>Social Value</w:t>
      </w:r>
      <w:r>
        <w:rPr>
          <w:rFonts w:ascii="Arial" w:hAnsi="Arial" w:cs="Arial"/>
          <w:bCs/>
          <w:color w:val="000000"/>
        </w:rPr>
        <w:t xml:space="preserve">. (3) </w:t>
      </w:r>
      <w:r>
        <w:rPr>
          <w:rFonts w:ascii="Arial" w:hAnsi="Arial" w:cs="Arial"/>
          <w:bCs/>
          <w:i/>
          <w:color w:val="000000"/>
        </w:rPr>
        <w:t>Quality/Performance Value</w:t>
      </w:r>
      <w:r>
        <w:rPr>
          <w:rFonts w:ascii="Arial" w:hAnsi="Arial" w:cs="Arial"/>
          <w:bCs/>
          <w:color w:val="000000"/>
        </w:rPr>
        <w:t xml:space="preserve">. (4) </w:t>
      </w:r>
      <w:r>
        <w:rPr>
          <w:rFonts w:ascii="Arial" w:hAnsi="Arial" w:cs="Arial"/>
          <w:bCs/>
          <w:i/>
          <w:color w:val="000000"/>
        </w:rPr>
        <w:t>Price/Value for Mone.</w:t>
      </w:r>
    </w:p>
    <w:p>
      <w:pPr>
        <w:shd w:val="clear" w:color="auto" w:fill="FFFFFF"/>
        <w:spacing w:before="240" w:after="0" w:line="240" w:lineRule="auto"/>
        <w:jc w:val="both"/>
        <w:rPr>
          <w:rFonts w:ascii="Arial" w:hAnsi="Arial" w:eastAsia="Times New Roman" w:cs="Arial"/>
          <w:b/>
          <w:color w:val="000000"/>
          <w:lang/>
        </w:rPr>
      </w:pPr>
      <w:r>
        <w:rPr>
          <w:rFonts w:ascii="Arial" w:hAnsi="Arial" w:eastAsia="Times New Roman" w:cs="Arial"/>
          <w:b/>
          <w:color w:val="000000"/>
          <w:lang/>
        </w:rPr>
        <w:t>Kepuasan Nasabah</w:t>
      </w:r>
    </w:p>
    <w:p>
      <w:pPr>
        <w:shd w:val="clear" w:color="auto" w:fill="FFFFFF"/>
        <w:spacing w:after="0" w:line="240" w:lineRule="auto"/>
        <w:ind w:firstLine="426"/>
        <w:jc w:val="both"/>
        <w:rPr>
          <w:rFonts w:ascii="Arial" w:hAnsi="Arial" w:cs="Arial"/>
          <w:color w:val="000000"/>
        </w:rPr>
      </w:pPr>
      <w:r>
        <w:rPr>
          <w:rFonts w:ascii="Arial" w:hAnsi="Arial" w:cs="Arial"/>
          <w:color w:val="000000"/>
        </w:rPr>
        <w:t>Menurut Kotler (2002: 42), kepuasan adalah perasaan senang atau kecewa seseorang yang muncul setelah membandingkan antara persepsi/kesannya terhadap kinerja atau hasil suatu produk dan harapan-harapannya. Kepuasan merupakan fungsi dari persepsi atau kesan atas kinerja dan harapan. Pendapat lain dinyatakan oleh Rangkuti (2003: 30), yang mendefinisikan kepuasan pelanggan sebagai respon pelanggan terhadap ketidaksesuaian antara tingkat kepentingan sebelumnya dan kinerja aktual yang dirasakannya setelah pemakaian.</w:t>
      </w:r>
    </w:p>
    <w:p>
      <w:pPr>
        <w:spacing w:after="0" w:line="240" w:lineRule="auto"/>
        <w:ind w:firstLine="426"/>
        <w:jc w:val="both"/>
        <w:rPr>
          <w:rFonts w:ascii="Arial" w:hAnsi="Arial" w:cs="Arial"/>
          <w:color w:val="000000"/>
        </w:rPr>
      </w:pPr>
      <w:r>
        <w:rPr>
          <w:rFonts w:ascii="Arial" w:hAnsi="Arial" w:cs="Arial"/>
          <w:color w:val="000000"/>
        </w:rPr>
        <w:t>Hasan (2009: 58) menyatakan bahwa kepuasan pelanggan timbul dari adanya respon emosional terhadap produk yang digunakan, khususnya ketika mereka membandingkan kinerja yang ia rasakan dibandingkan dengan harapannya. Kemungkinan pelanggan akan menyatakan kepuasan ada berbagai tingkatan, yaitu: (1) Apabila pelanggan mempersepsikan bahwa kinerja produk yang dinikmatinya lebih besar atau lebih tinggi dari yang diharapkan oleh pelanggan, maka pelanggan akan sangat puas. (2) Apabila pelanggan mempersepsikan bahwa kinerja produk yang dinikmatinya sama dengan yang diharapkan oleh pelanggan, maka pelanggan akan menyatakan bahwa mereka puas. (3) Apabila pelanggan mempersepsikan bahwa kinerja produk yang dinikmatinya lebih kecil atau lebih rendah dari yang diharapkan oleh pelanggan, maka pelanggan akan menyatakan kecewa.</w:t>
      </w:r>
    </w:p>
    <w:p>
      <w:pPr>
        <w:shd w:val="clear" w:color="auto" w:fill="FFFFFF"/>
        <w:spacing w:before="240" w:after="0" w:line="240" w:lineRule="auto"/>
        <w:jc w:val="both"/>
        <w:rPr>
          <w:rFonts w:ascii="Arial" w:hAnsi="Arial" w:cs="Arial"/>
          <w:b/>
          <w:i/>
          <w:color w:val="000000"/>
        </w:rPr>
      </w:pPr>
      <w:r>
        <w:rPr>
          <w:rFonts w:ascii="Arial" w:hAnsi="Arial" w:cs="Arial"/>
          <w:b/>
          <w:i/>
          <w:color w:val="000000"/>
        </w:rPr>
        <w:t>Customer Retention</w:t>
      </w:r>
    </w:p>
    <w:p>
      <w:pPr>
        <w:shd w:val="clear" w:color="auto" w:fill="FFFFFF"/>
        <w:spacing w:after="0" w:line="240" w:lineRule="auto"/>
        <w:ind w:firstLine="426"/>
        <w:jc w:val="both"/>
        <w:rPr>
          <w:rFonts w:ascii="Arial" w:hAnsi="Arial" w:cs="Arial"/>
          <w:color w:val="000000"/>
        </w:rPr>
      </w:pPr>
      <w:r>
        <w:rPr>
          <w:rFonts w:ascii="Arial" w:hAnsi="Arial" w:cs="Arial"/>
          <w:color w:val="000000"/>
        </w:rPr>
        <w:t>Dalam strategi marketing, kita mengenal 2 (dua) macam strategi, yakni strategi mencari pelanggan baru dan strategi mempertahankan pelanggan yang sudah ada (</w:t>
      </w:r>
      <w:r>
        <w:rPr>
          <w:rFonts w:ascii="Arial" w:hAnsi="Arial" w:cs="Arial"/>
          <w:i/>
          <w:iCs/>
          <w:color w:val="000000"/>
        </w:rPr>
        <w:t>customer retention</w:t>
      </w:r>
      <w:r>
        <w:rPr>
          <w:rFonts w:ascii="Arial" w:hAnsi="Arial" w:cs="Arial"/>
          <w:color w:val="000000"/>
        </w:rPr>
        <w:t xml:space="preserve">). Kedua strategi tersebut dapat dilaksanakan secara bersamaan, tetapi strategi </w:t>
      </w:r>
      <w:r>
        <w:rPr>
          <w:rFonts w:ascii="Arial" w:hAnsi="Arial" w:cs="Arial"/>
          <w:i/>
          <w:iCs/>
          <w:color w:val="000000"/>
        </w:rPr>
        <w:t>customer retention</w:t>
      </w:r>
      <w:r>
        <w:rPr>
          <w:rFonts w:ascii="Arial" w:hAnsi="Arial" w:cs="Arial"/>
          <w:color w:val="000000"/>
        </w:rPr>
        <w:t xml:space="preserve"> selayaknya mendapatkan perhatian yang lebih besar.</w:t>
      </w:r>
    </w:p>
    <w:p>
      <w:pPr>
        <w:shd w:val="clear" w:color="auto" w:fill="FFFFFF"/>
        <w:spacing w:after="0" w:line="240" w:lineRule="auto"/>
        <w:ind w:firstLine="426"/>
        <w:jc w:val="both"/>
        <w:rPr>
          <w:rFonts w:ascii="Arial" w:hAnsi="Arial" w:cs="Arial"/>
          <w:color w:val="000000"/>
        </w:rPr>
      </w:pPr>
      <w:r>
        <w:rPr>
          <w:rFonts w:ascii="Arial" w:hAnsi="Arial" w:cs="Arial"/>
          <w:color w:val="000000"/>
        </w:rPr>
        <w:t xml:space="preserve">Hal ini berarti organisasi harus selalu berupaya agar para pelanggannya selalu merasa puas dan melakukan pembelian ulang (Zulkifli, 2012). Menurut Hoffman, </w:t>
      </w:r>
      <w:r>
        <w:rPr>
          <w:rFonts w:ascii="Arial" w:hAnsi="Arial" w:cs="Arial"/>
          <w:i/>
          <w:color w:val="000000"/>
        </w:rPr>
        <w:t>et al</w:t>
      </w:r>
      <w:r>
        <w:rPr>
          <w:rFonts w:ascii="Arial" w:hAnsi="Arial" w:cs="Arial"/>
          <w:color w:val="000000"/>
        </w:rPr>
        <w:t xml:space="preserve"> (2003) dan Murphy, </w:t>
      </w:r>
      <w:r>
        <w:rPr>
          <w:rFonts w:ascii="Arial" w:hAnsi="Arial" w:cs="Arial"/>
          <w:i/>
          <w:color w:val="000000"/>
        </w:rPr>
        <w:t>et al</w:t>
      </w:r>
      <w:r>
        <w:rPr>
          <w:rFonts w:ascii="Arial" w:hAnsi="Arial" w:cs="Arial"/>
          <w:color w:val="000000"/>
        </w:rPr>
        <w:t xml:space="preserve"> (2006) dalam Mostert, </w:t>
      </w:r>
      <w:r>
        <w:rPr>
          <w:rFonts w:ascii="Arial" w:hAnsi="Arial" w:cs="Arial"/>
          <w:i/>
          <w:color w:val="000000"/>
        </w:rPr>
        <w:t>et al</w:t>
      </w:r>
      <w:r>
        <w:rPr>
          <w:rFonts w:ascii="Arial" w:hAnsi="Arial" w:cs="Arial"/>
          <w:color w:val="000000"/>
        </w:rPr>
        <w:t xml:space="preserve"> (2009), </w:t>
      </w:r>
      <w:r>
        <w:rPr>
          <w:rFonts w:ascii="Arial" w:hAnsi="Arial" w:cs="Arial"/>
          <w:i/>
          <w:iCs/>
          <w:color w:val="000000"/>
        </w:rPr>
        <w:t>customer retention</w:t>
      </w:r>
      <w:r>
        <w:rPr>
          <w:rFonts w:ascii="Arial" w:hAnsi="Arial" w:cs="Arial"/>
          <w:color w:val="000000"/>
        </w:rPr>
        <w:t xml:space="preserve"> adalah cara perusahaan memfokuskan upaya mereka pada pelanggan yang sudah ada untuk terus melakukan bisnis dengan mereka.</w:t>
      </w:r>
    </w:p>
    <w:p>
      <w:pPr>
        <w:shd w:val="clear" w:color="auto" w:fill="FFFFFF"/>
        <w:spacing w:after="0" w:line="240" w:lineRule="auto"/>
        <w:ind w:firstLine="426"/>
        <w:jc w:val="both"/>
        <w:rPr>
          <w:rFonts w:ascii="Arial" w:hAnsi="Arial" w:cs="Arial"/>
          <w:color w:val="000000"/>
        </w:rPr>
      </w:pPr>
      <w:r>
        <w:rPr>
          <w:rFonts w:ascii="Arial" w:hAnsi="Arial" w:cs="Arial"/>
          <w:i/>
          <w:iCs/>
          <w:color w:val="000000"/>
        </w:rPr>
        <w:t>Customer retention</w:t>
      </w:r>
      <w:r>
        <w:rPr>
          <w:rFonts w:ascii="Arial" w:hAnsi="Arial" w:cs="Arial"/>
          <w:color w:val="000000"/>
        </w:rPr>
        <w:t xml:space="preserve"> jauh lebih murah dibandingkan mencari pelanggan baru. Retensi pelanggan dapat tercipta dengan cara memberikan pelayanan yang lebih besar dibandingkan kebutuhan pelanggan (Rangkuti, 2003: 146). Terdapat cara untuk memperkuat retensi pelanggan, yaitu dengan mendirikan rintangan beralih yang tinggi. Para pelanggan lebih enggan untuk beralih ke pemasok lainnya jika melibatkan biaya modal yang tinggi, biaya pencarian yang tinggi, kehilangan potongan harga, dan sebagainya. Pendekatan yang lebih baik dengan memberikan kepuasan yang tinggi kepada pelanggan. Hal itu mempersulit pesaing untuk meruntuhkan rintangan beralih dengan hanya menawarkan harga yang lebih rendah atau perangsang lain untuk beralih (Kotler, 2002: 58-59).</w:t>
      </w:r>
    </w:p>
    <w:p>
      <w:pPr>
        <w:spacing w:before="240" w:after="0" w:line="240" w:lineRule="auto"/>
        <w:jc w:val="both"/>
        <w:rPr>
          <w:rFonts w:ascii="Arial" w:hAnsi="Arial" w:cs="Arial"/>
          <w:b/>
          <w:color w:val="000000"/>
        </w:rPr>
      </w:pPr>
      <w:r>
        <w:rPr>
          <w:rFonts w:ascii="Arial" w:hAnsi="Arial" w:cs="Arial"/>
          <w:b/>
          <w:color w:val="000000"/>
        </w:rPr>
        <w:t>Penelitian Terdahulu</w:t>
      </w:r>
    </w:p>
    <w:p>
      <w:pPr>
        <w:autoSpaceDE w:val="0"/>
        <w:autoSpaceDN w:val="0"/>
        <w:adjustRightInd w:val="0"/>
        <w:spacing w:after="0" w:line="240" w:lineRule="auto"/>
        <w:ind w:firstLine="426"/>
        <w:jc w:val="both"/>
        <w:rPr>
          <w:rFonts w:ascii="Arial" w:hAnsi="Arial" w:eastAsia="TimesNewRomanPSMT" w:cs="Arial"/>
          <w:iCs/>
          <w:color w:val="000000"/>
        </w:rPr>
      </w:pPr>
      <w:r>
        <w:rPr>
          <w:rFonts w:ascii="Arial" w:hAnsi="Arial" w:cs="Arial"/>
          <w:color w:val="000000"/>
        </w:rPr>
        <w:t xml:space="preserve">Othman </w:t>
      </w:r>
      <w:r>
        <w:rPr>
          <w:rFonts w:ascii="Arial" w:hAnsi="Arial" w:cs="Arial"/>
          <w:i/>
          <w:iCs/>
          <w:color w:val="000000"/>
        </w:rPr>
        <w:t>and</w:t>
      </w:r>
      <w:r>
        <w:rPr>
          <w:rFonts w:ascii="Arial" w:hAnsi="Arial" w:cs="Arial"/>
          <w:color w:val="000000"/>
        </w:rPr>
        <w:t xml:space="preserve"> Owen (2001) melakukan penelitian kualitas layanan dengan menggunakan pendekatan baru, hasil penelitian menunjukkan bahwa kepuasan nasabah pada kualitas layanan dalam bank syariah diukur dengan dimensi CARTER (</w:t>
      </w:r>
      <w:r>
        <w:rPr>
          <w:rFonts w:ascii="Arial" w:hAnsi="Arial" w:eastAsia="TimesNewRomanPSMT" w:cs="Arial"/>
          <w:i/>
          <w:iCs/>
          <w:color w:val="000000"/>
        </w:rPr>
        <w:t xml:space="preserve">Compliance, Assurance, Reliability, Tangible, Emphaty, </w:t>
      </w:r>
      <w:r>
        <w:rPr>
          <w:rFonts w:ascii="Arial" w:hAnsi="Arial" w:eastAsia="TimesNewRomanPSMT" w:cs="Arial"/>
          <w:color w:val="000000"/>
        </w:rPr>
        <w:t xml:space="preserve">dan </w:t>
      </w:r>
      <w:r>
        <w:rPr>
          <w:rFonts w:ascii="Arial" w:hAnsi="Arial" w:eastAsia="TimesNewRomanPSMT" w:cs="Arial"/>
          <w:i/>
          <w:iCs/>
          <w:color w:val="000000"/>
        </w:rPr>
        <w:t>Responsiveness</w:t>
      </w:r>
      <w:r>
        <w:rPr>
          <w:rFonts w:ascii="Arial" w:hAnsi="Arial" w:eastAsia="TimesNewRomanPSMT" w:cs="Arial"/>
          <w:iCs/>
          <w:color w:val="000000"/>
        </w:rPr>
        <w:t xml:space="preserve">). Hal tersebut didukung oleh penelitian yang dilakukan Hasanah (2013) yang menyatakan bahwa adanya pengaruh </w:t>
      </w:r>
      <w:r>
        <w:rPr>
          <w:rFonts w:ascii="Arial" w:hAnsi="Arial" w:eastAsia="TimesNewRomanPSMT" w:cs="Arial"/>
          <w:color w:val="000000"/>
        </w:rPr>
        <w:t>positif dan signifikan baik secara parsial maupun simultan dari variabel kualitas jasa dengan model CARTER terhadap tingkat kepuasan nasabah.</w:t>
      </w:r>
    </w:p>
    <w:p>
      <w:pPr>
        <w:autoSpaceDE w:val="0"/>
        <w:autoSpaceDN w:val="0"/>
        <w:adjustRightInd w:val="0"/>
        <w:spacing w:after="0" w:line="240" w:lineRule="auto"/>
        <w:ind w:firstLine="426"/>
        <w:jc w:val="both"/>
        <w:rPr>
          <w:rFonts w:ascii="Arial" w:hAnsi="Arial" w:cs="Arial"/>
          <w:color w:val="000000"/>
        </w:rPr>
      </w:pPr>
      <w:r>
        <w:rPr>
          <w:rFonts w:ascii="Arial" w:hAnsi="Arial" w:cs="Arial"/>
          <w:color w:val="000000"/>
        </w:rPr>
        <w:t xml:space="preserve">Penelitian Afiff </w:t>
      </w:r>
      <w:r>
        <w:rPr>
          <w:rFonts w:ascii="Arial" w:hAnsi="Arial" w:cs="Arial"/>
          <w:i/>
          <w:color w:val="000000"/>
        </w:rPr>
        <w:t xml:space="preserve">and </w:t>
      </w:r>
      <w:r>
        <w:rPr>
          <w:rFonts w:ascii="Arial" w:hAnsi="Arial" w:cs="Arial"/>
          <w:color w:val="000000"/>
        </w:rPr>
        <w:t>Astuti (2009) menghasilkan bahwa dimensi spiritual secara signifikan berhubungan dengan nilai nasabah bersama dengan 3 dimensi lainnya (fungsional, sosial, dan emosional) dari nilai nasabah. Semua dimensi memiliki hubungan signifikan dengan nilai nasabah.</w:t>
      </w:r>
    </w:p>
    <w:p>
      <w:pPr>
        <w:autoSpaceDE w:val="0"/>
        <w:autoSpaceDN w:val="0"/>
        <w:adjustRightInd w:val="0"/>
        <w:spacing w:after="0" w:line="240" w:lineRule="auto"/>
        <w:ind w:firstLine="426"/>
        <w:jc w:val="both"/>
        <w:rPr>
          <w:rFonts w:ascii="Arial" w:hAnsi="Arial" w:cs="Arial"/>
          <w:color w:val="000000"/>
        </w:rPr>
      </w:pPr>
      <w:r>
        <w:rPr>
          <w:rFonts w:ascii="Arial" w:hAnsi="Arial" w:cs="Arial"/>
          <w:color w:val="000000"/>
        </w:rPr>
        <w:t>Selain itu, Hidayat (2009) melakukan penelitian yang menunjukkan bahwa kualitas layanan dan nilai nasabah berpengaruh positif dan signifikan terhadap kepuasan nasabah Bank Mandiri. Hasil ini dipertegas oleh Ika dan Noor (2013) yang menyatakan bahwa kualitas layanan dan nilai nasabah memiliki pengaruh positif dan signifikan terhadap kepuasan nasabah.</w:t>
      </w:r>
    </w:p>
    <w:p>
      <w:pPr>
        <w:autoSpaceDE w:val="0"/>
        <w:autoSpaceDN w:val="0"/>
        <w:adjustRightInd w:val="0"/>
        <w:spacing w:after="0" w:line="240" w:lineRule="auto"/>
        <w:ind w:firstLine="426"/>
        <w:jc w:val="both"/>
        <w:rPr>
          <w:rFonts w:ascii="Arial" w:hAnsi="Arial" w:cs="Arial"/>
          <w:color w:val="000000"/>
        </w:rPr>
      </w:pPr>
      <w:r>
        <w:rPr>
          <w:rFonts w:ascii="Arial" w:hAnsi="Arial" w:cs="Arial"/>
          <w:color w:val="000000"/>
        </w:rPr>
        <w:t xml:space="preserve">Penelitian Tumangkeng (2013) menyatakan bahwa kualitas produk dan kualitas pelayanan berpengaruh positif dan signifikan terhadap kepuasan pelanggan KPR Bank BTN Cabang Manado. </w:t>
      </w:r>
    </w:p>
    <w:p>
      <w:pPr>
        <w:autoSpaceDE w:val="0"/>
        <w:autoSpaceDN w:val="0"/>
        <w:adjustRightInd w:val="0"/>
        <w:spacing w:after="0" w:line="240" w:lineRule="auto"/>
        <w:ind w:firstLine="426"/>
        <w:jc w:val="both"/>
        <w:rPr>
          <w:rFonts w:ascii="Arial" w:hAnsi="Arial" w:cs="Arial"/>
          <w:bCs/>
          <w:color w:val="000000"/>
        </w:rPr>
      </w:pPr>
      <w:r>
        <w:rPr>
          <w:rFonts w:ascii="Arial" w:hAnsi="Arial" w:cs="Arial"/>
          <w:color w:val="000000"/>
        </w:rPr>
        <w:t xml:space="preserve">Sungkawa (2014) menyatakan bahwa kepercayaan memiliki pengaruh positif dan signifikan terhadap kepuasan nasabah. Hal tersebut mendukung penelitian Elsandra dan Efriyuzal (2013) yang menyatakan bahwa kepercayaan berpengaruh signifikan terhadap kepuasan nasabah. </w:t>
      </w:r>
      <w:r>
        <w:rPr>
          <w:rFonts w:ascii="Arial" w:hAnsi="Arial" w:cs="Arial"/>
          <w:bCs/>
          <w:color w:val="000000"/>
        </w:rPr>
        <w:t>Semakin tinggi kepercayaan yang dirasakan nasabah, maka akan meningkatkan kepuasan nasabah. Sebaliknya jika kepercayaan yang dimiliki nasabah rendah, maka kepuasan nasabah juga akan menurun.</w:t>
      </w:r>
    </w:p>
    <w:p>
      <w:pPr>
        <w:autoSpaceDE w:val="0"/>
        <w:autoSpaceDN w:val="0"/>
        <w:adjustRightInd w:val="0"/>
        <w:spacing w:after="0" w:line="240" w:lineRule="auto"/>
        <w:ind w:firstLine="426"/>
        <w:jc w:val="both"/>
        <w:rPr>
          <w:rFonts w:ascii="Arial" w:hAnsi="Arial" w:cs="Arial"/>
          <w:bCs/>
          <w:color w:val="000000"/>
        </w:rPr>
      </w:pPr>
      <w:r>
        <w:rPr>
          <w:rFonts w:ascii="Arial" w:hAnsi="Arial" w:cs="Arial"/>
          <w:bCs/>
          <w:color w:val="000000"/>
        </w:rPr>
        <w:t xml:space="preserve">Penelitian Esti, </w:t>
      </w:r>
      <w:r>
        <w:rPr>
          <w:rFonts w:ascii="Arial" w:hAnsi="Arial" w:cs="Arial"/>
          <w:bCs/>
          <w:i/>
          <w:color w:val="000000"/>
        </w:rPr>
        <w:t>et al</w:t>
      </w:r>
      <w:r>
        <w:rPr>
          <w:rFonts w:ascii="Arial" w:hAnsi="Arial" w:cs="Arial"/>
          <w:bCs/>
          <w:color w:val="000000"/>
        </w:rPr>
        <w:t xml:space="preserve"> (2013) menghasilkan salah satu kunci mempertahankan pelanggan adalah kepuasan pelanggan. Menurut Danesh, </w:t>
      </w:r>
      <w:r>
        <w:rPr>
          <w:rFonts w:ascii="Arial" w:hAnsi="Arial" w:cs="Arial"/>
          <w:bCs/>
          <w:i/>
          <w:color w:val="000000"/>
        </w:rPr>
        <w:t>et al</w:t>
      </w:r>
      <w:r>
        <w:rPr>
          <w:rFonts w:ascii="Arial" w:hAnsi="Arial" w:cs="Arial"/>
          <w:bCs/>
          <w:color w:val="000000"/>
        </w:rPr>
        <w:t xml:space="preserve"> (2012), kepuasan pelanggan berpengaruh positif dan signifikan terhadap </w:t>
      </w:r>
      <w:r>
        <w:rPr>
          <w:rFonts w:ascii="Arial" w:hAnsi="Arial" w:cs="Arial"/>
          <w:bCs/>
          <w:i/>
          <w:color w:val="000000"/>
        </w:rPr>
        <w:t xml:space="preserve">customer retention. </w:t>
      </w:r>
      <w:r>
        <w:rPr>
          <w:rFonts w:ascii="Arial" w:hAnsi="Arial" w:cs="Arial"/>
          <w:bCs/>
          <w:color w:val="000000"/>
        </w:rPr>
        <w:t xml:space="preserve">Penelitian Sari dan Suryadi (2013) menyatakan bahwa kepuasan pelanggan secara signifikan berpengaruh dominan terhadap </w:t>
      </w:r>
      <w:r>
        <w:rPr>
          <w:rFonts w:ascii="Arial" w:hAnsi="Arial" w:cs="Arial"/>
          <w:bCs/>
          <w:i/>
          <w:color w:val="000000"/>
        </w:rPr>
        <w:t>customer retention</w:t>
      </w:r>
      <w:r>
        <w:rPr>
          <w:rFonts w:ascii="Arial" w:hAnsi="Arial" w:cs="Arial"/>
          <w:bCs/>
          <w:color w:val="000000"/>
        </w:rPr>
        <w:t xml:space="preserve">. Penelitian Panjaitan, </w:t>
      </w:r>
      <w:r>
        <w:rPr>
          <w:rFonts w:ascii="Arial" w:hAnsi="Arial" w:cs="Arial"/>
          <w:bCs/>
          <w:i/>
          <w:color w:val="000000"/>
        </w:rPr>
        <w:t>et al</w:t>
      </w:r>
      <w:r>
        <w:rPr>
          <w:rFonts w:ascii="Arial" w:hAnsi="Arial" w:cs="Arial"/>
          <w:bCs/>
          <w:color w:val="000000"/>
        </w:rPr>
        <w:t xml:space="preserve"> (2015) mendukung penelitian-penelitian sebelumnya yaitu kepuasan pelanggan memiliki pengaruh signifikan terhadap retensi pelanggan.</w:t>
      </w:r>
    </w:p>
    <w:p>
      <w:pPr>
        <w:spacing w:before="240" w:after="0" w:line="240" w:lineRule="auto"/>
        <w:jc w:val="both"/>
        <w:rPr>
          <w:rFonts w:ascii="Arial" w:hAnsi="Arial" w:cs="Arial"/>
          <w:b/>
          <w:color w:val="000000"/>
        </w:rPr>
      </w:pPr>
      <w:r>
        <w:rPr>
          <w:rFonts w:ascii="Arial" w:hAnsi="Arial" w:cs="Arial"/>
          <w:b/>
          <w:color w:val="000000"/>
        </w:rPr>
        <w:t>Kerangka Teoritis Penelitian</w:t>
      </w:r>
    </w:p>
    <w:p>
      <w:pPr>
        <w:spacing w:after="0" w:line="240" w:lineRule="auto"/>
        <w:ind w:firstLine="426"/>
        <w:jc w:val="both"/>
        <w:rPr>
          <w:rFonts w:ascii="Arial" w:hAnsi="Arial" w:cs="Arial"/>
          <w:bCs/>
          <w:iCs/>
          <w:color w:val="000000"/>
        </w:rPr>
      </w:pPr>
      <w:r>
        <w:rPr>
          <w:rFonts w:ascii="Arial" w:hAnsi="Arial" w:cs="Arial"/>
          <w:bCs/>
          <w:iCs/>
          <w:color w:val="000000"/>
        </w:rPr>
        <w:t xml:space="preserve">Ilustrasi terhadap kerangka pemikiran teoritis penelitian diungkapkan pada Gambar 1. Gambar tersebut menjelaskan bahwa variabel kualitas pelayanan, kualitas produk, kepercayaan, dan nilai nasabah merupakan variabel eksogen, sedangkan variabel kepuasan nasabah dan </w:t>
      </w:r>
      <w:r>
        <w:rPr>
          <w:rFonts w:ascii="Arial" w:hAnsi="Arial" w:cs="Arial"/>
          <w:bCs/>
          <w:i/>
          <w:iCs/>
          <w:color w:val="000000"/>
        </w:rPr>
        <w:t>customer retention</w:t>
      </w:r>
      <w:r>
        <w:rPr>
          <w:rFonts w:ascii="Arial" w:hAnsi="Arial" w:cs="Arial"/>
          <w:bCs/>
          <w:iCs/>
          <w:color w:val="000000"/>
        </w:rPr>
        <w:t xml:space="preserve"> merupakan variabel endogen.</w:t>
      </w:r>
    </w:p>
    <w:p>
      <w:pPr>
        <w:spacing w:after="0" w:line="240" w:lineRule="auto"/>
        <w:ind w:firstLine="567"/>
        <w:jc w:val="both"/>
        <w:rPr>
          <w:rFonts w:ascii="Arial" w:hAnsi="Arial" w:cs="Arial"/>
          <w:bCs/>
          <w:iCs/>
          <w:color w:val="000000"/>
        </w:rPr>
        <w:sectPr>
          <w:type w:val="continuous"/>
          <w:pgSz w:w="11906" w:h="16838"/>
          <w:pgMar w:top="1701" w:right="1701" w:bottom="1701" w:left="1701" w:header="709" w:footer="596" w:gutter="0"/>
          <w:cols w:space="397" w:num="2"/>
          <w:docGrid w:linePitch="360" w:charSpace="0"/>
        </w:sectPr>
      </w:pPr>
    </w:p>
    <w:p>
      <w:pPr>
        <w:spacing w:before="240" w:after="0" w:line="240" w:lineRule="auto"/>
        <w:jc w:val="center"/>
        <w:rPr>
          <w:rFonts w:ascii="Arial" w:hAnsi="Arial" w:cs="Arial"/>
          <w:b/>
          <w:color w:val="000000"/>
          <w:lang/>
        </w:rPr>
      </w:pPr>
      <w:r>
        <w:rPr>
          <w:rFonts w:ascii="Arial" w:hAnsi="Arial" w:cs="Arial"/>
          <w:b/>
          <w:color w:val="000000"/>
          <w:lang/>
        </w:rPr>
        <w:t>Gambar 1.: Kerangka Pemikiran teoritis</w:t>
      </w:r>
    </w:p>
    <w:p>
      <w:pPr>
        <w:spacing w:after="0" w:line="240" w:lineRule="auto"/>
        <w:ind w:firstLine="709"/>
        <w:jc w:val="both"/>
        <w:rPr>
          <w:rFonts w:ascii="Arial" w:hAnsi="Arial" w:cs="Arial"/>
          <w:bCs/>
          <w:iCs/>
          <w:color w:val="000000"/>
        </w:rPr>
      </w:pPr>
      <w:r>
        <w:rPr>
          <w:rFonts w:ascii="Arial" w:hAnsi="Arial" w:eastAsia="Calibri" w:cs="Arial"/>
          <w:bCs/>
          <w:iCs/>
          <w:color w:val="000000"/>
          <w:sz w:val="22"/>
          <w:szCs w:val="22"/>
          <w:lang w:val="en-US" w:eastAsia="en-US" w:bidi="ar-SA"/>
        </w:rPr>
        <w:pict>
          <v:shape id="Picture 1" o:spid="_x0000_s1026" type="#_x0000_t75" style="position:absolute;left:0;margin-left:104.45pt;margin-top:4.05pt;height:85.3pt;width:245.9pt;rotation:0f;z-index:251667456;" o:ole="f" fillcolor="#FFFFFF" filled="f" o:preferrelative="t" stroked="t" coordorigin="0,0" coordsize="21600,21600">
            <v:fill on="f" color2="#FFFFFF" focus="0%"/>
            <v:stroke weight="3pt" color="#000000" color2="#FFFFFF" miterlimit="2"/>
            <v:imagedata cropleft="872f" croptop="1873f" cropright="2401f" cropbottom="4622f" gain="65536f" blacklevel="0f" gamma="0" o:title="" r:id="rId7"/>
            <o:lock v:ext="edit" position="f" selection="f" grouping="f" rotation="f" cropping="f" text="f" aspectratio="t"/>
          </v:shape>
        </w:pict>
      </w:r>
    </w:p>
    <w:p>
      <w:pPr>
        <w:spacing w:before="240" w:after="0" w:line="240" w:lineRule="auto"/>
        <w:ind w:firstLine="709"/>
        <w:jc w:val="both"/>
        <w:rPr>
          <w:rFonts w:ascii="Arial" w:hAnsi="Arial" w:cs="Arial"/>
          <w:bCs/>
          <w:iCs/>
          <w:color w:val="000000"/>
        </w:rPr>
      </w:pPr>
    </w:p>
    <w:p>
      <w:pPr>
        <w:spacing w:before="240" w:after="0" w:line="240" w:lineRule="auto"/>
        <w:ind w:firstLine="709"/>
        <w:jc w:val="both"/>
        <w:rPr>
          <w:rFonts w:ascii="Arial" w:hAnsi="Arial" w:cs="Arial"/>
          <w:bCs/>
          <w:iCs/>
          <w:color w:val="000000"/>
        </w:rPr>
      </w:pPr>
    </w:p>
    <w:p>
      <w:pPr>
        <w:spacing w:before="240" w:after="0" w:line="240" w:lineRule="auto"/>
        <w:ind w:firstLine="709"/>
        <w:jc w:val="both"/>
        <w:rPr>
          <w:rFonts w:ascii="Arial" w:hAnsi="Arial" w:cs="Arial"/>
          <w:bCs/>
          <w:iCs/>
          <w:color w:val="000000"/>
        </w:rPr>
      </w:pPr>
    </w:p>
    <w:p>
      <w:pPr>
        <w:spacing w:after="0" w:line="240" w:lineRule="auto"/>
        <w:jc w:val="both"/>
        <w:rPr>
          <w:rFonts w:ascii="Arial" w:hAnsi="Arial" w:cs="Arial"/>
          <w:b/>
          <w:color w:val="000000"/>
          <w:lang/>
        </w:rPr>
      </w:pPr>
    </w:p>
    <w:p>
      <w:pPr>
        <w:spacing w:after="0" w:line="240" w:lineRule="auto"/>
        <w:jc w:val="both"/>
        <w:rPr>
          <w:rFonts w:ascii="Arial" w:hAnsi="Arial" w:cs="Arial"/>
          <w:b/>
          <w:color w:val="000000"/>
          <w:lang/>
        </w:rPr>
        <w:sectPr>
          <w:type w:val="continuous"/>
          <w:pgSz w:w="11906" w:h="16838"/>
          <w:pgMar w:top="1701" w:right="1701" w:bottom="1701" w:left="1701" w:header="709" w:footer="708" w:gutter="0"/>
          <w:cols w:space="522" w:num="1"/>
          <w:docGrid w:linePitch="360" w:charSpace="0"/>
        </w:sectPr>
      </w:pPr>
    </w:p>
    <w:p>
      <w:pPr>
        <w:spacing w:after="0" w:line="240" w:lineRule="auto"/>
        <w:jc w:val="both"/>
        <w:rPr>
          <w:rFonts w:ascii="Arial" w:hAnsi="Arial" w:cs="Arial"/>
          <w:b/>
          <w:color w:val="000000"/>
          <w:lang/>
        </w:rPr>
      </w:pPr>
      <w:r>
        <w:rPr>
          <w:rFonts w:ascii="Arial" w:hAnsi="Arial" w:cs="Arial"/>
          <w:b/>
          <w:color w:val="000000"/>
          <w:lang/>
        </w:rPr>
        <w:t>METODE  PENELITIAN</w:t>
      </w:r>
    </w:p>
    <w:p>
      <w:pPr>
        <w:spacing w:after="0" w:line="240" w:lineRule="auto"/>
        <w:jc w:val="both"/>
        <w:rPr>
          <w:rFonts w:ascii="Arial" w:hAnsi="Arial" w:cs="Arial"/>
          <w:b/>
          <w:color w:val="000000"/>
          <w:lang/>
        </w:rPr>
      </w:pPr>
      <w:r>
        <w:rPr>
          <w:rFonts w:ascii="Arial" w:hAnsi="Arial" w:cs="Arial"/>
          <w:b/>
          <w:color w:val="000000"/>
          <w:lang/>
        </w:rPr>
        <w:t>Populasi dan Penetuan Sampel</w:t>
      </w:r>
    </w:p>
    <w:p>
      <w:pPr>
        <w:shd w:val="clear" w:color="auto" w:fill="FFFFFF"/>
        <w:spacing w:after="0" w:line="240" w:lineRule="auto"/>
        <w:ind w:firstLine="426"/>
        <w:jc w:val="both"/>
        <w:rPr>
          <w:rFonts w:ascii="Arial" w:hAnsi="Arial" w:cs="Arial"/>
          <w:color w:val="000000"/>
        </w:rPr>
      </w:pPr>
      <w:r>
        <w:rPr>
          <w:rFonts w:ascii="Arial" w:hAnsi="Arial" w:cs="Arial"/>
          <w:color w:val="000000"/>
          <w:lang/>
        </w:rPr>
        <w:t xml:space="preserve">Populasi penelitian ini adalah </w:t>
      </w:r>
      <w:r>
        <w:rPr>
          <w:rFonts w:ascii="Arial" w:hAnsi="Arial" w:cs="Arial"/>
          <w:color w:val="000000"/>
        </w:rPr>
        <w:t xml:space="preserve">seluruh </w:t>
      </w:r>
      <w:r>
        <w:rPr>
          <w:rFonts w:ascii="Arial" w:hAnsi="Arial" w:cs="Arial"/>
          <w:color w:val="000000"/>
          <w:spacing w:val="-1"/>
        </w:rPr>
        <w:t>jumlah</w:t>
      </w:r>
      <w:r>
        <w:rPr>
          <w:rFonts w:ascii="Arial" w:hAnsi="Arial" w:cs="Arial"/>
          <w:color w:val="000000"/>
        </w:rPr>
        <w:t xml:space="preserve"> nasabah tabungan pada </w:t>
      </w:r>
      <w:r>
        <w:rPr>
          <w:rFonts w:ascii="Arial" w:hAnsi="Arial" w:cs="Arial"/>
          <w:color w:val="000000"/>
          <w:spacing w:val="-8"/>
        </w:rPr>
        <w:t>PT Bank BRISyariah Kantor Cabang Pembantu Ungaran</w:t>
      </w:r>
      <w:r>
        <w:rPr>
          <w:rFonts w:ascii="Arial" w:hAnsi="Arial" w:cs="Arial"/>
          <w:color w:val="000000"/>
          <w:spacing w:val="-1"/>
        </w:rPr>
        <w:t>.</w:t>
      </w:r>
      <w:r>
        <w:rPr>
          <w:rFonts w:ascii="Arial" w:hAnsi="Arial" w:cs="Arial"/>
          <w:color w:val="000000"/>
        </w:rPr>
        <w:t xml:space="preserve">  </w:t>
      </w:r>
    </w:p>
    <w:p>
      <w:pPr>
        <w:pStyle w:val="12"/>
        <w:spacing w:after="0" w:line="240" w:lineRule="auto"/>
        <w:ind w:left="0" w:firstLine="426"/>
        <w:jc w:val="both"/>
        <w:rPr>
          <w:rFonts w:ascii="Arial" w:hAnsi="Arial" w:cs="Arial"/>
          <w:color w:val="000000"/>
        </w:rPr>
      </w:pPr>
      <w:r>
        <w:rPr>
          <w:rFonts w:ascii="Arial" w:hAnsi="Arial" w:cs="Arial"/>
          <w:color w:val="000000"/>
        </w:rPr>
        <w:t xml:space="preserve">Sampel yang digunakan dalam penelitian ini adalah sebanyak 172 responden nasabah tabungan pada PT Bank BRISyariah </w:t>
      </w:r>
      <w:r>
        <w:rPr>
          <w:rFonts w:ascii="Arial" w:hAnsi="Arial" w:cs="Arial"/>
          <w:iCs/>
          <w:color w:val="000000"/>
        </w:rPr>
        <w:t xml:space="preserve">Kantor Cabang Pembantu Ungaran, yang diambil berdasarkan teknik pengambilan sampel </w:t>
      </w:r>
      <w:r>
        <w:rPr>
          <w:rFonts w:ascii="Arial" w:hAnsi="Arial" w:cs="Arial"/>
          <w:bCs/>
          <w:i/>
          <w:color w:val="000000"/>
        </w:rPr>
        <w:t>judgmental sampling</w:t>
      </w:r>
      <w:r>
        <w:rPr>
          <w:rFonts w:ascii="Arial" w:hAnsi="Arial" w:cs="Arial"/>
          <w:bCs/>
          <w:color w:val="000000"/>
        </w:rPr>
        <w:t xml:space="preserve">. </w:t>
      </w:r>
    </w:p>
    <w:p>
      <w:pPr>
        <w:pStyle w:val="12"/>
        <w:spacing w:before="240" w:after="0" w:line="240" w:lineRule="auto"/>
        <w:ind w:left="0"/>
        <w:jc w:val="both"/>
        <w:rPr>
          <w:rFonts w:ascii="Arial" w:hAnsi="Arial" w:cs="Arial"/>
          <w:b/>
          <w:color w:val="000000"/>
        </w:rPr>
      </w:pPr>
      <w:r>
        <w:rPr>
          <w:rFonts w:ascii="Arial" w:hAnsi="Arial" w:cs="Arial"/>
          <w:b/>
          <w:color w:val="000000"/>
        </w:rPr>
        <w:t>Prosedur Pengumpulan dan Jenis Data</w:t>
      </w:r>
    </w:p>
    <w:p>
      <w:pPr>
        <w:pStyle w:val="12"/>
        <w:spacing w:after="0" w:line="240" w:lineRule="auto"/>
        <w:ind w:left="0" w:firstLine="426"/>
        <w:jc w:val="both"/>
        <w:rPr>
          <w:rFonts w:ascii="Arial" w:hAnsi="Arial" w:cs="Arial"/>
          <w:color w:val="000000"/>
        </w:rPr>
      </w:pPr>
      <w:r>
        <w:rPr>
          <w:rFonts w:ascii="Arial" w:hAnsi="Arial" w:cs="Arial"/>
          <w:color w:val="000000"/>
        </w:rPr>
        <w:t>Responden nasabah yang ditentukan adalah nasabah tabungan PT Bank BRISyariah Kantor Cabang Pembantu Ungaran yang dipilih secara acak dan telah menjadi nasabah selama minimal 1 (satu) tahun, kemudian diberikan kuesioner untuk dijawab dan diwawancarai.</w:t>
      </w:r>
    </w:p>
    <w:p>
      <w:pPr>
        <w:pStyle w:val="12"/>
        <w:spacing w:after="0" w:line="240" w:lineRule="auto"/>
        <w:ind w:left="0" w:firstLine="426"/>
        <w:jc w:val="both"/>
        <w:rPr>
          <w:rFonts w:ascii="Arial" w:hAnsi="Arial" w:cs="Arial"/>
          <w:color w:val="000000"/>
        </w:rPr>
      </w:pPr>
      <w:r>
        <w:rPr>
          <w:rFonts w:ascii="Arial" w:hAnsi="Arial" w:cs="Arial"/>
          <w:color w:val="000000"/>
        </w:rPr>
        <w:t xml:space="preserve">Jenis penelitian ini adalah data primer yang diperoleh </w:t>
      </w:r>
      <w:r>
        <w:rPr>
          <w:rFonts w:ascii="Arial" w:hAnsi="Arial" w:cs="Arial"/>
          <w:color w:val="000000"/>
          <w:spacing w:val="-1"/>
        </w:rPr>
        <w:t>dari</w:t>
      </w:r>
      <w:r>
        <w:rPr>
          <w:rFonts w:ascii="Arial" w:hAnsi="Arial" w:cs="Arial"/>
          <w:color w:val="000000"/>
        </w:rPr>
        <w:t xml:space="preserve"> kuesioner yang disebar kepada nasabah tabungan pada PT Bank BRISyariah Kantor Cabang Pembantu Ungaran dan beberapa hasil wawancara terhad</w:t>
      </w:r>
      <w:r>
        <w:rPr>
          <w:rFonts w:ascii="Arial" w:hAnsi="Arial" w:eastAsia="Calibri" w:cs="Arial"/>
          <w:color w:val="000000"/>
          <w:sz w:val="22"/>
          <w:szCs w:val="22"/>
          <w:lang w:eastAsia="zh-CN" w:bidi="ar-SA"/>
        </w:rPr>
        <w:pict>
          <v:shape id="polygon41" o:spid="_x0000_s1027" o:spt="100" type="" style="position:absolute;left:0;margin-left:0pt;margin-top:0pt;height:50pt;width:50pt;rotation:0f;visibility:hidden;z-index:251669504;" o:ole="f" fillcolor="#FFFFFF" filled="t" o:preferrelative="t" stroked="t" coordorigin="0,0" coordsize="39990,300" adj="0,0" path="m0,150l0,150,39990,150e">
            <v:stroke color="#000000" color2="#FFFFFF" miterlimit="2"/>
            <v:imagedata gain="65536f" blacklevel="0f" gamma="0"/>
            <o:lock v:ext="edit" position="f" selection="f" grouping="f" rotation="f" cropping="f" text="f" aspectratio="f"/>
          </v:shape>
        </w:pict>
      </w:r>
      <w:r>
        <w:rPr>
          <w:rFonts w:ascii="Arial" w:hAnsi="Arial" w:eastAsia="Calibri" w:cs="Arial"/>
          <w:color w:val="000000"/>
          <w:sz w:val="22"/>
          <w:szCs w:val="22"/>
          <w:lang w:eastAsia="zh-CN" w:bidi="ar-SA"/>
        </w:rPr>
        <w:pict>
          <v:shape id="polygon42" o:spid="_x0000_s1028" o:spt="100" type="" style="position:absolute;left:0;margin-left:0pt;margin-top:0pt;height:50pt;width:50pt;rotation:0f;visibility:hidden;z-index:251670528;" o:ole="f" fillcolor="#FFFFFF" filled="t" o:preferrelative="t" stroked="t" coordorigin="0,0" coordsize="39990,72" adj="0,0" path="m0,36l0,36,39990,36e">
            <v:stroke color="#000000" color2="#FFFFFF" miterlimit="2"/>
            <v:imagedata gain="65536f" blacklevel="0f" gamma="0"/>
            <o:lock v:ext="edit" position="f" selection="f" grouping="f" rotation="f" cropping="f" text="f" aspectratio="f"/>
          </v:shape>
        </w:pict>
      </w:r>
      <w:r>
        <w:rPr>
          <w:rFonts w:ascii="Arial" w:hAnsi="Arial" w:cs="Arial"/>
          <w:color w:val="000000"/>
        </w:rPr>
        <w:t xml:space="preserve">ap nasabah tersebut. </w:t>
      </w:r>
    </w:p>
    <w:p>
      <w:pPr>
        <w:pStyle w:val="12"/>
        <w:spacing w:after="0" w:line="240" w:lineRule="auto"/>
        <w:ind w:left="0"/>
        <w:jc w:val="both"/>
        <w:rPr>
          <w:rFonts w:ascii="Arial" w:hAnsi="Arial" w:cs="Arial"/>
          <w:b/>
          <w:color w:val="000000"/>
        </w:rPr>
      </w:pPr>
    </w:p>
    <w:p>
      <w:pPr>
        <w:pStyle w:val="12"/>
        <w:spacing w:after="0" w:line="240" w:lineRule="auto"/>
        <w:ind w:left="0"/>
        <w:jc w:val="both"/>
        <w:rPr>
          <w:rFonts w:ascii="Arial" w:hAnsi="Arial" w:cs="Arial"/>
          <w:b/>
          <w:color w:val="000000"/>
        </w:rPr>
      </w:pPr>
      <w:r>
        <w:rPr>
          <w:rFonts w:ascii="Arial" w:hAnsi="Arial" w:cs="Arial"/>
          <w:b/>
          <w:color w:val="000000"/>
        </w:rPr>
        <w:t>Definisi Operasional Variabel</w:t>
      </w:r>
    </w:p>
    <w:p>
      <w:pPr>
        <w:pStyle w:val="12"/>
        <w:spacing w:before="240" w:after="0" w:line="240" w:lineRule="auto"/>
        <w:ind w:left="0" w:firstLine="426"/>
        <w:jc w:val="both"/>
        <w:rPr>
          <w:rFonts w:ascii="Arial" w:hAnsi="Arial" w:cs="Arial"/>
          <w:color w:val="000000"/>
        </w:rPr>
      </w:pPr>
      <w:r>
        <w:rPr>
          <w:rFonts w:ascii="Arial" w:hAnsi="Arial" w:cs="Arial"/>
          <w:color w:val="000000"/>
        </w:rPr>
        <w:t xml:space="preserve">Variabel kualitas pelayanan diukur dengan menggunakan instrumen kualitas pelayanan yang dikemukakan oleh Othman </w:t>
      </w:r>
      <w:r>
        <w:rPr>
          <w:rFonts w:ascii="Arial" w:hAnsi="Arial" w:cs="Arial"/>
          <w:i/>
          <w:color w:val="000000"/>
        </w:rPr>
        <w:t xml:space="preserve">and </w:t>
      </w:r>
      <w:r>
        <w:rPr>
          <w:rFonts w:ascii="Arial" w:hAnsi="Arial" w:cs="Arial"/>
          <w:color w:val="000000"/>
        </w:rPr>
        <w:t xml:space="preserve">Owen (2001), Habibah (2006), dan Astuti, </w:t>
      </w:r>
      <w:r>
        <w:rPr>
          <w:rFonts w:ascii="Arial" w:hAnsi="Arial" w:cs="Arial"/>
          <w:i/>
          <w:color w:val="000000"/>
        </w:rPr>
        <w:t>et al</w:t>
      </w:r>
      <w:r>
        <w:rPr>
          <w:rFonts w:ascii="Arial" w:hAnsi="Arial" w:cs="Arial"/>
          <w:color w:val="000000"/>
        </w:rPr>
        <w:t xml:space="preserve"> (2009). Variabel kualitas produk diukur dengan menggunakan instrumen kualitas produk yang dikemukakan oleh Hidayat (2009), Markoni (2011), dan Ismail (2014). Variabel kepercayaan diukur dengan menggunakan instrumen kepercayaan yang dikemukakan oleh </w:t>
      </w:r>
      <w:r>
        <w:rPr>
          <w:rFonts w:ascii="Arial" w:hAnsi="Arial" w:cs="Arial"/>
          <w:color w:val="000000"/>
          <w:lang/>
        </w:rPr>
        <w:t>McKnight</w:t>
      </w:r>
      <w:r>
        <w:rPr>
          <w:rFonts w:ascii="Arial" w:hAnsi="Arial" w:cs="Arial"/>
          <w:color w:val="000000"/>
          <w:lang/>
        </w:rPr>
        <w:t xml:space="preserve"> </w:t>
      </w:r>
      <w:r>
        <w:rPr>
          <w:rFonts w:ascii="Arial" w:hAnsi="Arial" w:cs="Arial"/>
          <w:i/>
          <w:color w:val="000000"/>
          <w:lang/>
        </w:rPr>
        <w:t>and</w:t>
      </w:r>
      <w:r>
        <w:rPr>
          <w:rFonts w:ascii="Arial" w:hAnsi="Arial" w:cs="Arial"/>
          <w:color w:val="000000"/>
          <w:lang/>
        </w:rPr>
        <w:t xml:space="preserve"> Chervany</w:t>
      </w:r>
      <w:r>
        <w:rPr>
          <w:rFonts w:ascii="Arial" w:hAnsi="Arial" w:cs="Arial"/>
          <w:color w:val="000000"/>
          <w:lang/>
        </w:rPr>
        <w:t xml:space="preserve"> (2002)</w:t>
      </w:r>
      <w:r>
        <w:rPr>
          <w:rFonts w:ascii="Arial" w:hAnsi="Arial" w:cs="Arial"/>
          <w:color w:val="000000"/>
          <w:lang/>
        </w:rPr>
        <w:t xml:space="preserve">, Junusi (2009). Jasfar (2009), dan Zulkifli (2012). Variabel nilai nasabah </w:t>
      </w:r>
      <w:r>
        <w:rPr>
          <w:rFonts w:ascii="Arial" w:hAnsi="Arial" w:cs="Arial"/>
          <w:color w:val="000000"/>
        </w:rPr>
        <w:t xml:space="preserve">diukur dengan menggunakan instrumen nilai nasabah yang dikemukakan oleh Afiff </w:t>
      </w:r>
      <w:r>
        <w:rPr>
          <w:rFonts w:ascii="Arial" w:hAnsi="Arial" w:cs="Arial"/>
          <w:i/>
          <w:color w:val="000000"/>
        </w:rPr>
        <w:t>and</w:t>
      </w:r>
      <w:r>
        <w:rPr>
          <w:rFonts w:ascii="Arial" w:hAnsi="Arial" w:cs="Arial"/>
          <w:color w:val="000000"/>
        </w:rPr>
        <w:t xml:space="preserve"> Astuti (2009). Variabel kepuasan nasabah diukur dengan menggunakan instrumen kepuasan nasabah yang dikemukakan oleh Othman </w:t>
      </w:r>
      <w:r>
        <w:rPr>
          <w:rFonts w:ascii="Arial" w:hAnsi="Arial" w:cs="Arial"/>
          <w:i/>
          <w:color w:val="000000"/>
        </w:rPr>
        <w:t xml:space="preserve">and </w:t>
      </w:r>
      <w:r>
        <w:rPr>
          <w:rFonts w:ascii="Arial" w:hAnsi="Arial" w:cs="Arial"/>
          <w:color w:val="000000"/>
        </w:rPr>
        <w:t xml:space="preserve">Owen (2001), Habibah (2006), dan Astuti, </w:t>
      </w:r>
      <w:r>
        <w:rPr>
          <w:rFonts w:ascii="Arial" w:hAnsi="Arial" w:cs="Arial"/>
          <w:i/>
          <w:color w:val="000000"/>
        </w:rPr>
        <w:t>et al</w:t>
      </w:r>
      <w:r>
        <w:rPr>
          <w:rFonts w:ascii="Arial" w:hAnsi="Arial" w:cs="Arial"/>
          <w:color w:val="000000"/>
        </w:rPr>
        <w:t xml:space="preserve"> (2009). Variabel </w:t>
      </w:r>
      <w:r>
        <w:rPr>
          <w:rFonts w:ascii="Arial" w:hAnsi="Arial" w:cs="Arial"/>
          <w:i/>
          <w:color w:val="000000"/>
        </w:rPr>
        <w:t>customer retention</w:t>
      </w:r>
      <w:r>
        <w:rPr>
          <w:rFonts w:ascii="Arial" w:hAnsi="Arial" w:cs="Arial"/>
          <w:color w:val="000000"/>
        </w:rPr>
        <w:t xml:space="preserve"> diukur dengan menggunakan instrumen </w:t>
      </w:r>
      <w:r>
        <w:rPr>
          <w:rFonts w:ascii="Arial" w:hAnsi="Arial" w:cs="Arial"/>
          <w:i/>
          <w:color w:val="000000"/>
        </w:rPr>
        <w:t xml:space="preserve">customer retention </w:t>
      </w:r>
      <w:r>
        <w:rPr>
          <w:rFonts w:ascii="Arial" w:hAnsi="Arial" w:cs="Arial"/>
          <w:color w:val="000000"/>
        </w:rPr>
        <w:t xml:space="preserve">yang dikemukakan oleh Budi (2010), Bakar (2010) dan Ertanti (2012). Definisi dan pengukuran variabel penelitian dapat dilihat pada Tabel 1. </w:t>
      </w:r>
    </w:p>
    <w:p>
      <w:pPr>
        <w:pStyle w:val="12"/>
        <w:spacing w:after="0" w:line="240" w:lineRule="auto"/>
        <w:ind w:left="0" w:firstLine="567"/>
        <w:jc w:val="both"/>
        <w:rPr>
          <w:rFonts w:ascii="Arial" w:hAnsi="Arial" w:cs="Arial"/>
          <w:color w:val="000000"/>
        </w:rPr>
      </w:pPr>
    </w:p>
    <w:p>
      <w:pPr>
        <w:pStyle w:val="12"/>
        <w:spacing w:after="0" w:line="240" w:lineRule="auto"/>
        <w:ind w:left="0" w:firstLine="567"/>
        <w:jc w:val="both"/>
        <w:rPr>
          <w:rFonts w:ascii="Arial" w:hAnsi="Arial" w:cs="Arial"/>
          <w:color w:val="000000"/>
        </w:rPr>
        <w:sectPr>
          <w:type w:val="continuous"/>
          <w:pgSz w:w="11906" w:h="16838"/>
          <w:pgMar w:top="1701" w:right="1701" w:bottom="1701" w:left="1701" w:header="709" w:footer="705" w:gutter="0"/>
          <w:cols w:space="397" w:num="2"/>
          <w:docGrid w:linePitch="360" w:charSpace="0"/>
        </w:sectPr>
      </w:pPr>
    </w:p>
    <w:p>
      <w:pPr>
        <w:spacing w:before="240" w:after="0" w:line="240" w:lineRule="auto"/>
        <w:jc w:val="center"/>
        <w:rPr>
          <w:rFonts w:ascii="Arial" w:hAnsi="Arial" w:cs="Arial"/>
          <w:b/>
          <w:iCs/>
          <w:color w:val="000000"/>
        </w:rPr>
      </w:pPr>
    </w:p>
    <w:p>
      <w:pPr>
        <w:spacing w:after="0" w:line="240" w:lineRule="auto"/>
        <w:jc w:val="center"/>
        <w:rPr>
          <w:rFonts w:ascii="Arial" w:hAnsi="Arial" w:cs="Arial"/>
          <w:b/>
          <w:iCs/>
          <w:color w:val="000000"/>
        </w:rPr>
      </w:pPr>
    </w:p>
    <w:p>
      <w:pPr>
        <w:spacing w:after="0" w:line="240" w:lineRule="auto"/>
        <w:jc w:val="center"/>
        <w:rPr>
          <w:rFonts w:ascii="Arial" w:hAnsi="Arial" w:cs="Arial"/>
          <w:b/>
          <w:iCs/>
          <w:color w:val="000000"/>
        </w:rPr>
      </w:pPr>
      <w:r>
        <w:rPr>
          <w:rFonts w:ascii="Arial" w:hAnsi="Arial" w:cs="Arial"/>
          <w:b/>
          <w:iCs/>
          <w:color w:val="000000"/>
        </w:rPr>
        <w:t>Tabel 1.: Operasionalisasi Variabel Penelitian</w:t>
      </w:r>
    </w:p>
    <w:tbl>
      <w:tblPr>
        <w:tblW w:w="8779" w:type="dxa"/>
        <w:jc w:val="center"/>
        <w:tblInd w:w="813" w:type="dxa"/>
        <w:tblBorders>
          <w:top w:val="single" w:color="auto" w:sz="18" w:space="0"/>
          <w:left w:val="none" w:color="auto" w:sz="0" w:space="0"/>
          <w:bottom w:val="single" w:color="auto" w:sz="18" w:space="0"/>
          <w:right w:val="none" w:color="auto" w:sz="0" w:space="0"/>
          <w:insideH w:val="none" w:color="auto" w:sz="0" w:space="0"/>
          <w:insideV w:val="none" w:color="auto" w:sz="0" w:space="0"/>
        </w:tblBorders>
        <w:tblLayout w:type="fixed"/>
        <w:tblCellMar>
          <w:left w:w="108" w:type="dxa"/>
          <w:right w:w="108" w:type="dxa"/>
        </w:tblCellMar>
      </w:tblPr>
      <w:tblGrid>
        <w:gridCol w:w="1839"/>
        <w:gridCol w:w="5103"/>
        <w:gridCol w:w="1837"/>
      </w:tblGrid>
      <w:tr>
        <w:tblPrEx>
          <w:tblBorders>
            <w:top w:val="single" w:color="auto" w:sz="18" w:space="0"/>
            <w:left w:val="none" w:color="auto" w:sz="0" w:space="0"/>
            <w:bottom w:val="single" w:color="auto" w:sz="18" w:space="0"/>
            <w:right w:val="none" w:color="auto" w:sz="0" w:space="0"/>
            <w:insideH w:val="none" w:color="auto" w:sz="0" w:space="0"/>
            <w:insideV w:val="none" w:color="auto" w:sz="0" w:space="0"/>
          </w:tblBorders>
          <w:tblLayout w:type="fixed"/>
          <w:tblCellMar>
            <w:left w:w="108" w:type="dxa"/>
            <w:right w:w="108" w:type="dxa"/>
          </w:tblCellMar>
        </w:tblPrEx>
        <w:trPr>
          <w:trHeight w:val="265" w:hRule="atLeast"/>
          <w:jc w:val="center"/>
        </w:trPr>
        <w:tc>
          <w:tcPr>
            <w:tcW w:w="1839" w:type="dxa"/>
            <w:shd w:val="clear" w:color="auto" w:fill="EEECE1"/>
            <w:vAlign w:val="top"/>
          </w:tcPr>
          <w:p>
            <w:pPr>
              <w:spacing w:after="0" w:line="240" w:lineRule="auto"/>
              <w:jc w:val="center"/>
              <w:rPr>
                <w:rFonts w:ascii="Arial" w:hAnsi="Arial" w:cs="Arial"/>
                <w:bCs/>
                <w:iCs/>
                <w:color w:val="000000"/>
                <w:sz w:val="18"/>
                <w:szCs w:val="18"/>
              </w:rPr>
            </w:pPr>
            <w:r>
              <w:rPr>
                <w:rFonts w:ascii="Arial" w:hAnsi="Arial" w:cs="Arial"/>
                <w:iCs/>
                <w:color w:val="000000"/>
                <w:sz w:val="18"/>
                <w:szCs w:val="18"/>
              </w:rPr>
              <w:t>Variabel</w:t>
            </w:r>
          </w:p>
        </w:tc>
        <w:tc>
          <w:tcPr>
            <w:tcW w:w="5103" w:type="dxa"/>
            <w:shd w:val="clear" w:color="auto" w:fill="EEECE1"/>
            <w:vAlign w:val="top"/>
          </w:tcPr>
          <w:p>
            <w:pPr>
              <w:spacing w:after="0" w:line="240" w:lineRule="auto"/>
              <w:jc w:val="center"/>
              <w:rPr>
                <w:rFonts w:ascii="Arial" w:hAnsi="Arial" w:cs="Arial"/>
                <w:bCs/>
                <w:iCs/>
                <w:color w:val="000000"/>
                <w:sz w:val="18"/>
                <w:szCs w:val="18"/>
              </w:rPr>
            </w:pPr>
            <w:r>
              <w:rPr>
                <w:rFonts w:ascii="Arial" w:hAnsi="Arial" w:cs="Arial"/>
                <w:iCs/>
                <w:color w:val="000000"/>
                <w:sz w:val="18"/>
                <w:szCs w:val="18"/>
              </w:rPr>
              <w:t>Dimensi</w:t>
            </w:r>
          </w:p>
        </w:tc>
        <w:tc>
          <w:tcPr>
            <w:tcW w:w="1837" w:type="dxa"/>
            <w:shd w:val="clear" w:color="auto" w:fill="EEECE1"/>
            <w:vAlign w:val="top"/>
          </w:tcPr>
          <w:p>
            <w:pPr>
              <w:spacing w:after="0" w:line="240" w:lineRule="auto"/>
              <w:jc w:val="center"/>
              <w:rPr>
                <w:rFonts w:ascii="Arial" w:hAnsi="Arial" w:cs="Arial"/>
                <w:bCs/>
                <w:iCs/>
                <w:color w:val="000000"/>
                <w:sz w:val="18"/>
                <w:szCs w:val="18"/>
              </w:rPr>
            </w:pPr>
            <w:r>
              <w:rPr>
                <w:rFonts w:ascii="Arial" w:hAnsi="Arial" w:cs="Arial"/>
                <w:iCs/>
                <w:color w:val="000000"/>
                <w:sz w:val="18"/>
                <w:szCs w:val="18"/>
              </w:rPr>
              <w:t>Pengukuran</w:t>
            </w:r>
          </w:p>
        </w:tc>
      </w:tr>
      <w:tr>
        <w:tblPrEx>
          <w:tblBorders>
            <w:top w:val="single" w:color="auto" w:sz="18" w:space="0"/>
            <w:left w:val="none" w:color="auto" w:sz="0" w:space="0"/>
            <w:bottom w:val="single" w:color="auto" w:sz="18" w:space="0"/>
            <w:right w:val="none" w:color="auto" w:sz="0" w:space="0"/>
            <w:insideH w:val="none" w:color="auto" w:sz="0" w:space="0"/>
            <w:insideV w:val="none" w:color="auto" w:sz="0" w:space="0"/>
          </w:tblBorders>
          <w:tblLayout w:type="fixed"/>
          <w:tblCellMar>
            <w:left w:w="108" w:type="dxa"/>
            <w:right w:w="108" w:type="dxa"/>
          </w:tblCellMar>
        </w:tblPrEx>
        <w:trPr>
          <w:trHeight w:val="283" w:hRule="atLeast"/>
          <w:jc w:val="center"/>
        </w:trPr>
        <w:tc>
          <w:tcPr>
            <w:tcW w:w="1839" w:type="dxa"/>
            <w:shd w:val="clear" w:color="auto" w:fill="FFFFFF"/>
            <w:vAlign w:val="top"/>
          </w:tcPr>
          <w:p>
            <w:pPr>
              <w:spacing w:after="0" w:line="240" w:lineRule="auto"/>
              <w:jc w:val="both"/>
              <w:rPr>
                <w:rFonts w:ascii="Arial" w:hAnsi="Arial" w:cs="Arial"/>
                <w:b/>
                <w:iCs/>
                <w:color w:val="000000"/>
                <w:sz w:val="18"/>
                <w:szCs w:val="18"/>
              </w:rPr>
            </w:pPr>
            <w:r>
              <w:rPr>
                <w:rFonts w:ascii="Arial" w:hAnsi="Arial" w:cs="Arial"/>
                <w:iCs/>
                <w:color w:val="000000"/>
                <w:sz w:val="18"/>
                <w:szCs w:val="18"/>
              </w:rPr>
              <w:t>Kualitas Pelayanan</w:t>
            </w:r>
          </w:p>
        </w:tc>
        <w:tc>
          <w:tcPr>
            <w:tcW w:w="5103" w:type="dxa"/>
            <w:shd w:val="clear" w:color="auto" w:fill="FFFFFF"/>
            <w:vAlign w:val="top"/>
          </w:tcPr>
          <w:p>
            <w:pPr>
              <w:spacing w:after="0" w:line="240" w:lineRule="auto"/>
              <w:jc w:val="both"/>
              <w:rPr>
                <w:rFonts w:ascii="Arial" w:hAnsi="Arial" w:cs="Arial"/>
                <w:bCs/>
                <w:iCs/>
                <w:color w:val="000000"/>
                <w:sz w:val="18"/>
                <w:szCs w:val="18"/>
              </w:rPr>
            </w:pPr>
            <w:r>
              <w:rPr>
                <w:rFonts w:ascii="Arial" w:hAnsi="Arial" w:cs="Arial"/>
                <w:bCs/>
                <w:iCs/>
                <w:color w:val="000000"/>
                <w:sz w:val="18"/>
                <w:szCs w:val="18"/>
              </w:rPr>
              <w:t>Operasional Sesuai dengan Hukum Islam.</w:t>
            </w:r>
          </w:p>
        </w:tc>
        <w:tc>
          <w:tcPr>
            <w:tcW w:w="1837" w:type="dxa"/>
            <w:vMerge w:val="restart"/>
            <w:shd w:val="clear" w:color="auto" w:fill="FFFFFF"/>
            <w:vAlign w:val="center"/>
          </w:tcPr>
          <w:p>
            <w:pPr>
              <w:spacing w:after="0" w:line="240" w:lineRule="auto"/>
              <w:jc w:val="center"/>
              <w:rPr>
                <w:rFonts w:ascii="Arial" w:hAnsi="Arial" w:cs="Arial"/>
                <w:bCs/>
                <w:iCs/>
                <w:color w:val="000000"/>
                <w:sz w:val="18"/>
                <w:szCs w:val="18"/>
              </w:rPr>
            </w:pPr>
            <w:r>
              <w:rPr>
                <w:rFonts w:ascii="Arial" w:hAnsi="Arial" w:cs="Arial"/>
                <w:bCs/>
                <w:iCs/>
                <w:color w:val="000000"/>
                <w:sz w:val="18"/>
                <w:szCs w:val="18"/>
              </w:rPr>
              <w:t>1 Pertanyaan</w:t>
            </w:r>
          </w:p>
        </w:tc>
      </w:tr>
      <w:tr>
        <w:tblPrEx>
          <w:tblBorders>
            <w:top w:val="single" w:color="auto" w:sz="18" w:space="0"/>
            <w:left w:val="none" w:color="auto" w:sz="0" w:space="0"/>
            <w:bottom w:val="single" w:color="auto" w:sz="18" w:space="0"/>
            <w:right w:val="none" w:color="auto" w:sz="0" w:space="0"/>
            <w:insideH w:val="none" w:color="auto" w:sz="0" w:space="0"/>
            <w:insideV w:val="none" w:color="auto" w:sz="0" w:space="0"/>
          </w:tblBorders>
          <w:tblLayout w:type="fixed"/>
          <w:tblCellMar>
            <w:left w:w="108" w:type="dxa"/>
            <w:right w:w="108" w:type="dxa"/>
          </w:tblCellMar>
        </w:tblPrEx>
        <w:trPr>
          <w:trHeight w:val="265" w:hRule="atLeast"/>
          <w:jc w:val="center"/>
        </w:trPr>
        <w:tc>
          <w:tcPr>
            <w:tcW w:w="1839" w:type="dxa"/>
            <w:shd w:val="clear" w:color="auto" w:fill="FFFFFF"/>
            <w:vAlign w:val="top"/>
          </w:tcPr>
          <w:p>
            <w:pPr>
              <w:spacing w:after="0" w:line="240" w:lineRule="auto"/>
              <w:jc w:val="both"/>
              <w:rPr>
                <w:rFonts w:ascii="Arial" w:hAnsi="Arial" w:cs="Arial"/>
                <w:b/>
                <w:iCs/>
                <w:color w:val="000000"/>
                <w:sz w:val="18"/>
                <w:szCs w:val="18"/>
              </w:rPr>
            </w:pPr>
          </w:p>
        </w:tc>
        <w:tc>
          <w:tcPr>
            <w:tcW w:w="5103" w:type="dxa"/>
            <w:shd w:val="clear" w:color="auto" w:fill="FFFFFF"/>
            <w:vAlign w:val="top"/>
          </w:tcPr>
          <w:p>
            <w:pPr>
              <w:spacing w:after="0" w:line="240" w:lineRule="auto"/>
              <w:jc w:val="both"/>
              <w:rPr>
                <w:rFonts w:ascii="Arial" w:hAnsi="Arial" w:cs="Arial"/>
                <w:bCs/>
                <w:iCs/>
                <w:color w:val="000000"/>
                <w:sz w:val="18"/>
                <w:szCs w:val="18"/>
              </w:rPr>
            </w:pPr>
            <w:r>
              <w:rPr>
                <w:rFonts w:ascii="Arial" w:hAnsi="Arial" w:cs="Arial"/>
                <w:bCs/>
                <w:iCs/>
                <w:color w:val="000000"/>
                <w:sz w:val="18"/>
                <w:szCs w:val="18"/>
              </w:rPr>
              <w:t>Karyawan Bersikap Sopan dan Ramah.</w:t>
            </w:r>
          </w:p>
        </w:tc>
        <w:tc>
          <w:tcPr>
            <w:tcW w:w="1837" w:type="dxa"/>
            <w:vMerge w:val="continue"/>
            <w:shd w:val="clear" w:color="auto" w:fill="FFFFFF"/>
            <w:vAlign w:val="top"/>
          </w:tcPr>
          <w:p>
            <w:pPr>
              <w:spacing w:after="0" w:line="240" w:lineRule="auto"/>
              <w:jc w:val="both"/>
              <w:rPr>
                <w:rFonts w:ascii="Arial" w:hAnsi="Arial" w:cs="Arial"/>
                <w:bCs/>
                <w:iCs/>
                <w:color w:val="000000"/>
                <w:sz w:val="18"/>
                <w:szCs w:val="18"/>
              </w:rPr>
            </w:pPr>
          </w:p>
        </w:tc>
      </w:tr>
      <w:tr>
        <w:tblPrEx>
          <w:tblBorders>
            <w:top w:val="single" w:color="auto" w:sz="18" w:space="0"/>
            <w:left w:val="none" w:color="auto" w:sz="0" w:space="0"/>
            <w:bottom w:val="single" w:color="auto" w:sz="18" w:space="0"/>
            <w:right w:val="none" w:color="auto" w:sz="0" w:space="0"/>
            <w:insideH w:val="none" w:color="auto" w:sz="0" w:space="0"/>
            <w:insideV w:val="none" w:color="auto" w:sz="0" w:space="0"/>
          </w:tblBorders>
          <w:tblLayout w:type="fixed"/>
          <w:tblCellMar>
            <w:left w:w="108" w:type="dxa"/>
            <w:right w:w="108" w:type="dxa"/>
          </w:tblCellMar>
        </w:tblPrEx>
        <w:trPr>
          <w:trHeight w:val="283" w:hRule="atLeast"/>
          <w:jc w:val="center"/>
        </w:trPr>
        <w:tc>
          <w:tcPr>
            <w:tcW w:w="1839" w:type="dxa"/>
            <w:shd w:val="clear" w:color="auto" w:fill="FFFFFF"/>
            <w:vAlign w:val="top"/>
          </w:tcPr>
          <w:p>
            <w:pPr>
              <w:spacing w:after="0" w:line="240" w:lineRule="auto"/>
              <w:jc w:val="both"/>
              <w:rPr>
                <w:rFonts w:ascii="Arial" w:hAnsi="Arial" w:cs="Arial"/>
                <w:b/>
                <w:iCs/>
                <w:color w:val="000000"/>
                <w:sz w:val="18"/>
                <w:szCs w:val="18"/>
              </w:rPr>
            </w:pPr>
          </w:p>
        </w:tc>
        <w:tc>
          <w:tcPr>
            <w:tcW w:w="5103" w:type="dxa"/>
            <w:shd w:val="clear" w:color="auto" w:fill="FFFFFF"/>
            <w:vAlign w:val="top"/>
          </w:tcPr>
          <w:p>
            <w:pPr>
              <w:spacing w:after="0" w:line="240" w:lineRule="auto"/>
              <w:jc w:val="both"/>
              <w:rPr>
                <w:rFonts w:ascii="Arial" w:hAnsi="Arial" w:cs="Arial"/>
                <w:b/>
                <w:bCs/>
                <w:iCs/>
                <w:color w:val="000000"/>
                <w:sz w:val="18"/>
                <w:szCs w:val="18"/>
              </w:rPr>
            </w:pPr>
            <w:r>
              <w:rPr>
                <w:rStyle w:val="11"/>
                <w:rFonts w:ascii="Arial" w:hAnsi="Arial" w:cs="Arial"/>
                <w:b w:val="0"/>
                <w:color w:val="000000"/>
                <w:sz w:val="18"/>
                <w:szCs w:val="18"/>
                <w:shd w:val="clear" w:color="auto" w:fill="FFFFFF"/>
              </w:rPr>
              <w:t>Tepat Waktu dalam Memberikan Pelayanan.</w:t>
            </w:r>
          </w:p>
        </w:tc>
        <w:tc>
          <w:tcPr>
            <w:tcW w:w="1837" w:type="dxa"/>
            <w:vMerge w:val="continue"/>
            <w:shd w:val="clear" w:color="auto" w:fill="FFFFFF"/>
            <w:vAlign w:val="top"/>
          </w:tcPr>
          <w:p>
            <w:pPr>
              <w:spacing w:after="0" w:line="240" w:lineRule="auto"/>
              <w:jc w:val="both"/>
              <w:rPr>
                <w:rFonts w:ascii="Arial" w:hAnsi="Arial" w:cs="Arial"/>
                <w:bCs/>
                <w:iCs/>
                <w:color w:val="000000"/>
                <w:sz w:val="18"/>
                <w:szCs w:val="18"/>
              </w:rPr>
            </w:pPr>
          </w:p>
        </w:tc>
      </w:tr>
      <w:tr>
        <w:tblPrEx>
          <w:tblBorders>
            <w:top w:val="single" w:color="auto" w:sz="18" w:space="0"/>
            <w:left w:val="none" w:color="auto" w:sz="0" w:space="0"/>
            <w:bottom w:val="single" w:color="auto" w:sz="18" w:space="0"/>
            <w:right w:val="none" w:color="auto" w:sz="0" w:space="0"/>
            <w:insideH w:val="none" w:color="auto" w:sz="0" w:space="0"/>
            <w:insideV w:val="none" w:color="auto" w:sz="0" w:space="0"/>
          </w:tblBorders>
          <w:tblLayout w:type="fixed"/>
          <w:tblCellMar>
            <w:left w:w="108" w:type="dxa"/>
            <w:right w:w="108" w:type="dxa"/>
          </w:tblCellMar>
        </w:tblPrEx>
        <w:trPr>
          <w:trHeight w:val="283" w:hRule="atLeast"/>
          <w:jc w:val="center"/>
        </w:trPr>
        <w:tc>
          <w:tcPr>
            <w:tcW w:w="1839" w:type="dxa"/>
            <w:shd w:val="clear" w:color="auto" w:fill="FFFFFF"/>
            <w:vAlign w:val="top"/>
          </w:tcPr>
          <w:p>
            <w:pPr>
              <w:spacing w:after="0" w:line="240" w:lineRule="auto"/>
              <w:jc w:val="both"/>
              <w:rPr>
                <w:rFonts w:ascii="Arial" w:hAnsi="Arial" w:cs="Arial"/>
                <w:b/>
                <w:iCs/>
                <w:color w:val="000000"/>
                <w:sz w:val="18"/>
                <w:szCs w:val="18"/>
              </w:rPr>
            </w:pPr>
          </w:p>
        </w:tc>
        <w:tc>
          <w:tcPr>
            <w:tcW w:w="5103" w:type="dxa"/>
            <w:shd w:val="clear" w:color="auto" w:fill="FFFFFF"/>
            <w:vAlign w:val="top"/>
          </w:tcPr>
          <w:p>
            <w:pPr>
              <w:spacing w:after="0" w:line="240" w:lineRule="auto"/>
              <w:jc w:val="both"/>
              <w:rPr>
                <w:rFonts w:ascii="Arial" w:hAnsi="Arial" w:cs="Arial"/>
                <w:bCs/>
                <w:iCs/>
                <w:color w:val="000000"/>
                <w:sz w:val="18"/>
                <w:szCs w:val="18"/>
              </w:rPr>
            </w:pPr>
            <w:r>
              <w:rPr>
                <w:rFonts w:ascii="Arial" w:hAnsi="Arial" w:cs="Arial"/>
                <w:bCs/>
                <w:iCs/>
                <w:color w:val="000000"/>
                <w:sz w:val="18"/>
                <w:szCs w:val="18"/>
              </w:rPr>
              <w:t xml:space="preserve">Penampilan </w:t>
            </w:r>
            <w:r>
              <w:rPr>
                <w:rFonts w:ascii="Arial" w:hAnsi="Arial" w:cs="Arial"/>
                <w:bCs/>
                <w:i/>
                <w:color w:val="000000"/>
                <w:sz w:val="18"/>
                <w:szCs w:val="18"/>
              </w:rPr>
              <w:t>Interior</w:t>
            </w:r>
            <w:r>
              <w:rPr>
                <w:rFonts w:ascii="Arial" w:hAnsi="Arial" w:cs="Arial"/>
                <w:bCs/>
                <w:iCs/>
                <w:color w:val="000000"/>
                <w:sz w:val="18"/>
                <w:szCs w:val="18"/>
              </w:rPr>
              <w:t xml:space="preserve"> yang Nyaman.</w:t>
            </w:r>
          </w:p>
        </w:tc>
        <w:tc>
          <w:tcPr>
            <w:tcW w:w="1837" w:type="dxa"/>
            <w:vMerge w:val="continue"/>
            <w:shd w:val="clear" w:color="auto" w:fill="FFFFFF"/>
            <w:vAlign w:val="top"/>
          </w:tcPr>
          <w:p>
            <w:pPr>
              <w:spacing w:after="0" w:line="240" w:lineRule="auto"/>
              <w:jc w:val="both"/>
              <w:rPr>
                <w:rFonts w:ascii="Arial" w:hAnsi="Arial" w:cs="Arial"/>
                <w:bCs/>
                <w:iCs/>
                <w:color w:val="000000"/>
                <w:sz w:val="18"/>
                <w:szCs w:val="18"/>
              </w:rPr>
            </w:pPr>
          </w:p>
        </w:tc>
      </w:tr>
      <w:tr>
        <w:tblPrEx>
          <w:tblBorders>
            <w:top w:val="single" w:color="auto" w:sz="18" w:space="0"/>
            <w:left w:val="none" w:color="auto" w:sz="0" w:space="0"/>
            <w:bottom w:val="single" w:color="auto" w:sz="18" w:space="0"/>
            <w:right w:val="none" w:color="auto" w:sz="0" w:space="0"/>
            <w:insideH w:val="none" w:color="auto" w:sz="0" w:space="0"/>
            <w:insideV w:val="none" w:color="auto" w:sz="0" w:space="0"/>
          </w:tblBorders>
          <w:tblLayout w:type="fixed"/>
          <w:tblCellMar>
            <w:left w:w="108" w:type="dxa"/>
            <w:right w:w="108" w:type="dxa"/>
          </w:tblCellMar>
        </w:tblPrEx>
        <w:trPr>
          <w:trHeight w:val="283" w:hRule="atLeast"/>
          <w:jc w:val="center"/>
        </w:trPr>
        <w:tc>
          <w:tcPr>
            <w:tcW w:w="1839" w:type="dxa"/>
            <w:shd w:val="clear" w:color="auto" w:fill="FFFFFF"/>
            <w:vAlign w:val="top"/>
          </w:tcPr>
          <w:p>
            <w:pPr>
              <w:spacing w:after="0" w:line="240" w:lineRule="auto"/>
              <w:jc w:val="both"/>
              <w:rPr>
                <w:rFonts w:ascii="Arial" w:hAnsi="Arial" w:cs="Arial"/>
                <w:b/>
                <w:iCs/>
                <w:color w:val="000000"/>
                <w:sz w:val="18"/>
                <w:szCs w:val="18"/>
              </w:rPr>
            </w:pPr>
          </w:p>
        </w:tc>
        <w:tc>
          <w:tcPr>
            <w:tcW w:w="5103" w:type="dxa"/>
            <w:shd w:val="clear" w:color="auto" w:fill="FFFFFF"/>
            <w:vAlign w:val="top"/>
          </w:tcPr>
          <w:p>
            <w:pPr>
              <w:spacing w:after="0" w:line="240" w:lineRule="auto"/>
              <w:jc w:val="both"/>
              <w:rPr>
                <w:rFonts w:ascii="Arial" w:hAnsi="Arial" w:cs="Arial"/>
                <w:bCs/>
                <w:iCs/>
                <w:color w:val="000000"/>
                <w:sz w:val="18"/>
                <w:szCs w:val="18"/>
              </w:rPr>
            </w:pPr>
            <w:r>
              <w:rPr>
                <w:rFonts w:ascii="Arial" w:hAnsi="Arial" w:cs="Arial"/>
                <w:bCs/>
                <w:iCs/>
                <w:color w:val="000000"/>
                <w:sz w:val="18"/>
                <w:szCs w:val="18"/>
              </w:rPr>
              <w:t>Produk dan Pelayanan yang Menguntungkan.</w:t>
            </w:r>
          </w:p>
        </w:tc>
        <w:tc>
          <w:tcPr>
            <w:tcW w:w="1837" w:type="dxa"/>
            <w:vMerge w:val="continue"/>
            <w:shd w:val="clear" w:color="auto" w:fill="FFFFFF"/>
            <w:vAlign w:val="top"/>
          </w:tcPr>
          <w:p>
            <w:pPr>
              <w:spacing w:after="0" w:line="240" w:lineRule="auto"/>
              <w:jc w:val="both"/>
              <w:rPr>
                <w:rFonts w:ascii="Arial" w:hAnsi="Arial" w:cs="Arial"/>
                <w:bCs/>
                <w:iCs/>
                <w:color w:val="000000"/>
                <w:sz w:val="18"/>
                <w:szCs w:val="18"/>
              </w:rPr>
            </w:pPr>
          </w:p>
        </w:tc>
      </w:tr>
      <w:tr>
        <w:tblPrEx>
          <w:tblBorders>
            <w:top w:val="single" w:color="auto" w:sz="18" w:space="0"/>
            <w:left w:val="none" w:color="auto" w:sz="0" w:space="0"/>
            <w:bottom w:val="single" w:color="auto" w:sz="18" w:space="0"/>
            <w:right w:val="none" w:color="auto" w:sz="0" w:space="0"/>
            <w:insideH w:val="none" w:color="auto" w:sz="0" w:space="0"/>
            <w:insideV w:val="none" w:color="auto" w:sz="0" w:space="0"/>
          </w:tblBorders>
          <w:tblLayout w:type="fixed"/>
          <w:tblCellMar>
            <w:left w:w="108" w:type="dxa"/>
            <w:right w:w="108" w:type="dxa"/>
          </w:tblCellMar>
        </w:tblPrEx>
        <w:trPr>
          <w:trHeight w:val="265" w:hRule="atLeast"/>
          <w:jc w:val="center"/>
        </w:trPr>
        <w:tc>
          <w:tcPr>
            <w:tcW w:w="1839" w:type="dxa"/>
            <w:tcBorders>
              <w:bottom w:val="single" w:color="auto" w:sz="18" w:space="0"/>
            </w:tcBorders>
            <w:shd w:val="clear" w:color="auto" w:fill="FFFFFF"/>
            <w:vAlign w:val="top"/>
          </w:tcPr>
          <w:p>
            <w:pPr>
              <w:spacing w:after="0" w:line="240" w:lineRule="auto"/>
              <w:jc w:val="both"/>
              <w:rPr>
                <w:rFonts w:ascii="Arial" w:hAnsi="Arial" w:cs="Arial"/>
                <w:b/>
                <w:iCs/>
                <w:color w:val="000000"/>
                <w:sz w:val="18"/>
                <w:szCs w:val="18"/>
              </w:rPr>
            </w:pPr>
          </w:p>
        </w:tc>
        <w:tc>
          <w:tcPr>
            <w:tcW w:w="5103" w:type="dxa"/>
            <w:tcBorders>
              <w:bottom w:val="single" w:color="auto" w:sz="18" w:space="0"/>
            </w:tcBorders>
            <w:shd w:val="clear" w:color="auto" w:fill="FFFFFF"/>
            <w:vAlign w:val="top"/>
          </w:tcPr>
          <w:p>
            <w:pPr>
              <w:spacing w:after="0" w:line="240" w:lineRule="auto"/>
              <w:jc w:val="both"/>
              <w:rPr>
                <w:rFonts w:ascii="Arial" w:hAnsi="Arial" w:cs="Arial"/>
                <w:bCs/>
                <w:iCs/>
                <w:color w:val="000000"/>
                <w:sz w:val="18"/>
                <w:szCs w:val="18"/>
              </w:rPr>
            </w:pPr>
            <w:r>
              <w:rPr>
                <w:rFonts w:ascii="Arial" w:hAnsi="Arial" w:cs="Arial"/>
                <w:bCs/>
                <w:iCs/>
                <w:color w:val="000000"/>
                <w:sz w:val="18"/>
                <w:szCs w:val="18"/>
              </w:rPr>
              <w:t>Cepat dalam Membantu Nasabah.</w:t>
            </w:r>
          </w:p>
        </w:tc>
        <w:tc>
          <w:tcPr>
            <w:tcW w:w="1837" w:type="dxa"/>
            <w:vMerge w:val="continue"/>
            <w:tcBorders>
              <w:bottom w:val="single" w:color="auto" w:sz="18" w:space="0"/>
            </w:tcBorders>
            <w:shd w:val="clear" w:color="auto" w:fill="FFFFFF"/>
            <w:vAlign w:val="top"/>
          </w:tcPr>
          <w:p>
            <w:pPr>
              <w:spacing w:after="0" w:line="240" w:lineRule="auto"/>
              <w:jc w:val="both"/>
              <w:rPr>
                <w:rFonts w:ascii="Arial" w:hAnsi="Arial" w:cs="Arial"/>
                <w:bCs/>
                <w:iCs/>
                <w:color w:val="000000"/>
                <w:sz w:val="18"/>
                <w:szCs w:val="18"/>
              </w:rPr>
            </w:pPr>
          </w:p>
        </w:tc>
      </w:tr>
      <w:tr>
        <w:tblPrEx>
          <w:tblBorders>
            <w:top w:val="single" w:color="auto" w:sz="18" w:space="0"/>
            <w:left w:val="none" w:color="auto" w:sz="0" w:space="0"/>
            <w:bottom w:val="single" w:color="auto" w:sz="18" w:space="0"/>
            <w:right w:val="none" w:color="auto" w:sz="0" w:space="0"/>
            <w:insideH w:val="none" w:color="auto" w:sz="0" w:space="0"/>
            <w:insideV w:val="none" w:color="auto" w:sz="0" w:space="0"/>
          </w:tblBorders>
          <w:tblLayout w:type="fixed"/>
          <w:tblCellMar>
            <w:left w:w="108" w:type="dxa"/>
            <w:right w:w="108" w:type="dxa"/>
          </w:tblCellMar>
        </w:tblPrEx>
        <w:trPr>
          <w:trHeight w:val="324" w:hRule="atLeast"/>
          <w:jc w:val="center"/>
        </w:trPr>
        <w:tc>
          <w:tcPr>
            <w:tcW w:w="1839" w:type="dxa"/>
            <w:tcBorders>
              <w:top w:val="single" w:color="auto" w:sz="18" w:space="0"/>
              <w:bottom w:val="nil"/>
            </w:tcBorders>
            <w:shd w:val="clear" w:color="auto" w:fill="FFFFFF"/>
            <w:vAlign w:val="top"/>
          </w:tcPr>
          <w:p>
            <w:pPr>
              <w:spacing w:after="0" w:line="240" w:lineRule="auto"/>
              <w:jc w:val="both"/>
              <w:rPr>
                <w:rFonts w:ascii="Arial" w:hAnsi="Arial" w:cs="Arial"/>
                <w:iCs/>
                <w:color w:val="000000"/>
                <w:sz w:val="18"/>
                <w:szCs w:val="18"/>
              </w:rPr>
            </w:pPr>
            <w:r>
              <w:rPr>
                <w:rFonts w:ascii="Arial" w:hAnsi="Arial" w:cs="Arial"/>
                <w:iCs/>
                <w:color w:val="000000"/>
                <w:sz w:val="18"/>
                <w:szCs w:val="18"/>
              </w:rPr>
              <w:t>Kualitas Produk</w:t>
            </w:r>
          </w:p>
        </w:tc>
        <w:tc>
          <w:tcPr>
            <w:tcW w:w="5103" w:type="dxa"/>
            <w:tcBorders>
              <w:top w:val="single" w:color="auto" w:sz="18" w:space="0"/>
              <w:bottom w:val="nil"/>
            </w:tcBorders>
            <w:shd w:val="clear" w:color="auto" w:fill="FFFFFF"/>
            <w:vAlign w:val="top"/>
          </w:tcPr>
          <w:p>
            <w:pPr>
              <w:spacing w:after="0" w:line="240" w:lineRule="auto"/>
              <w:jc w:val="both"/>
              <w:rPr>
                <w:rFonts w:ascii="Arial" w:hAnsi="Arial" w:cs="Arial"/>
                <w:bCs/>
                <w:iCs/>
                <w:color w:val="000000"/>
                <w:sz w:val="18"/>
                <w:szCs w:val="18"/>
              </w:rPr>
            </w:pPr>
            <w:r>
              <w:rPr>
                <w:rFonts w:ascii="Arial" w:hAnsi="Arial" w:cs="Arial"/>
                <w:bCs/>
                <w:iCs/>
                <w:color w:val="000000"/>
                <w:sz w:val="18"/>
                <w:szCs w:val="18"/>
              </w:rPr>
              <w:t>Karakteristik Pokok Produk Tabungan.</w:t>
            </w:r>
          </w:p>
        </w:tc>
        <w:tc>
          <w:tcPr>
            <w:tcW w:w="1837" w:type="dxa"/>
            <w:vMerge w:val="restart"/>
            <w:tcBorders>
              <w:top w:val="single" w:color="auto" w:sz="18" w:space="0"/>
            </w:tcBorders>
            <w:shd w:val="clear" w:color="auto" w:fill="FFFFFF"/>
            <w:vAlign w:val="center"/>
          </w:tcPr>
          <w:p>
            <w:pPr>
              <w:spacing w:after="0" w:line="240" w:lineRule="auto"/>
              <w:jc w:val="center"/>
              <w:rPr>
                <w:rFonts w:ascii="Arial" w:hAnsi="Arial" w:cs="Arial"/>
                <w:bCs/>
                <w:iCs/>
                <w:color w:val="000000"/>
                <w:sz w:val="18"/>
                <w:szCs w:val="18"/>
              </w:rPr>
            </w:pPr>
            <w:r>
              <w:rPr>
                <w:rFonts w:ascii="Arial" w:hAnsi="Arial" w:cs="Arial"/>
                <w:bCs/>
                <w:iCs/>
                <w:color w:val="000000"/>
                <w:sz w:val="18"/>
                <w:szCs w:val="18"/>
              </w:rPr>
              <w:t>1 Pertanyaan</w:t>
            </w:r>
          </w:p>
        </w:tc>
      </w:tr>
      <w:tr>
        <w:tblPrEx>
          <w:tblBorders>
            <w:top w:val="single" w:color="auto" w:sz="18" w:space="0"/>
            <w:left w:val="none" w:color="auto" w:sz="0" w:space="0"/>
            <w:bottom w:val="single" w:color="auto" w:sz="18" w:space="0"/>
            <w:right w:val="none" w:color="auto" w:sz="0" w:space="0"/>
            <w:insideH w:val="none" w:color="auto" w:sz="0" w:space="0"/>
            <w:insideV w:val="none" w:color="auto" w:sz="0" w:space="0"/>
          </w:tblBorders>
          <w:tblLayout w:type="fixed"/>
          <w:tblCellMar>
            <w:left w:w="108" w:type="dxa"/>
            <w:right w:w="108" w:type="dxa"/>
          </w:tblCellMar>
        </w:tblPrEx>
        <w:trPr>
          <w:trHeight w:val="324" w:hRule="atLeast"/>
          <w:jc w:val="center"/>
        </w:trPr>
        <w:tc>
          <w:tcPr>
            <w:tcW w:w="1839" w:type="dxa"/>
            <w:tcBorders>
              <w:top w:val="nil"/>
              <w:bottom w:val="nil"/>
            </w:tcBorders>
            <w:shd w:val="clear" w:color="auto" w:fill="FFFFFF"/>
            <w:vAlign w:val="top"/>
          </w:tcPr>
          <w:p>
            <w:pPr>
              <w:spacing w:after="0" w:line="240" w:lineRule="auto"/>
              <w:jc w:val="both"/>
              <w:rPr>
                <w:rFonts w:ascii="Arial" w:hAnsi="Arial" w:cs="Arial"/>
                <w:iCs/>
                <w:color w:val="000000"/>
                <w:sz w:val="18"/>
                <w:szCs w:val="18"/>
              </w:rPr>
            </w:pPr>
          </w:p>
        </w:tc>
        <w:tc>
          <w:tcPr>
            <w:tcW w:w="5103" w:type="dxa"/>
            <w:tcBorders>
              <w:top w:val="nil"/>
              <w:bottom w:val="nil"/>
            </w:tcBorders>
            <w:shd w:val="clear" w:color="auto" w:fill="FFFFFF"/>
            <w:vAlign w:val="top"/>
          </w:tcPr>
          <w:p>
            <w:pPr>
              <w:spacing w:after="0" w:line="240" w:lineRule="auto"/>
              <w:jc w:val="both"/>
              <w:rPr>
                <w:rFonts w:ascii="Arial" w:hAnsi="Arial" w:cs="Arial"/>
                <w:bCs/>
                <w:iCs/>
                <w:color w:val="000000"/>
                <w:sz w:val="18"/>
                <w:szCs w:val="18"/>
              </w:rPr>
            </w:pPr>
            <w:r>
              <w:rPr>
                <w:rFonts w:ascii="Arial" w:hAnsi="Arial" w:cs="Arial"/>
                <w:bCs/>
                <w:iCs/>
                <w:color w:val="000000"/>
                <w:sz w:val="18"/>
                <w:szCs w:val="18"/>
              </w:rPr>
              <w:t>Keistimewaan Fasilitas Tambahan.</w:t>
            </w:r>
          </w:p>
        </w:tc>
        <w:tc>
          <w:tcPr>
            <w:tcW w:w="1837" w:type="dxa"/>
            <w:vMerge w:val="continue"/>
            <w:shd w:val="clear" w:color="auto" w:fill="FFFFFF"/>
            <w:vAlign w:val="center"/>
          </w:tcPr>
          <w:p>
            <w:pPr>
              <w:spacing w:after="0" w:line="240" w:lineRule="auto"/>
              <w:jc w:val="center"/>
              <w:rPr>
                <w:rFonts w:ascii="Arial" w:hAnsi="Arial" w:cs="Arial"/>
                <w:bCs/>
                <w:iCs/>
                <w:color w:val="000000"/>
                <w:sz w:val="18"/>
                <w:szCs w:val="18"/>
              </w:rPr>
            </w:pPr>
          </w:p>
        </w:tc>
      </w:tr>
      <w:tr>
        <w:tblPrEx>
          <w:tblBorders>
            <w:top w:val="single" w:color="auto" w:sz="18" w:space="0"/>
            <w:left w:val="none" w:color="auto" w:sz="0" w:space="0"/>
            <w:bottom w:val="single" w:color="auto" w:sz="18" w:space="0"/>
            <w:right w:val="none" w:color="auto" w:sz="0" w:space="0"/>
            <w:insideH w:val="none" w:color="auto" w:sz="0" w:space="0"/>
            <w:insideV w:val="none" w:color="auto" w:sz="0" w:space="0"/>
          </w:tblBorders>
          <w:tblLayout w:type="fixed"/>
          <w:tblCellMar>
            <w:left w:w="108" w:type="dxa"/>
            <w:right w:w="108" w:type="dxa"/>
          </w:tblCellMar>
        </w:tblPrEx>
        <w:trPr>
          <w:trHeight w:val="324" w:hRule="atLeast"/>
          <w:jc w:val="center"/>
        </w:trPr>
        <w:tc>
          <w:tcPr>
            <w:tcW w:w="1839" w:type="dxa"/>
            <w:tcBorders>
              <w:top w:val="nil"/>
              <w:bottom w:val="nil"/>
            </w:tcBorders>
            <w:shd w:val="clear" w:color="auto" w:fill="FFFFFF"/>
            <w:vAlign w:val="top"/>
          </w:tcPr>
          <w:p>
            <w:pPr>
              <w:spacing w:after="0" w:line="240" w:lineRule="auto"/>
              <w:jc w:val="both"/>
              <w:rPr>
                <w:rFonts w:ascii="Arial" w:hAnsi="Arial" w:cs="Arial"/>
                <w:iCs/>
                <w:color w:val="000000"/>
                <w:sz w:val="18"/>
                <w:szCs w:val="18"/>
              </w:rPr>
            </w:pPr>
          </w:p>
        </w:tc>
        <w:tc>
          <w:tcPr>
            <w:tcW w:w="5103" w:type="dxa"/>
            <w:tcBorders>
              <w:top w:val="nil"/>
              <w:bottom w:val="nil"/>
            </w:tcBorders>
            <w:shd w:val="clear" w:color="auto" w:fill="FFFFFF"/>
            <w:vAlign w:val="top"/>
          </w:tcPr>
          <w:p>
            <w:pPr>
              <w:spacing w:after="0" w:line="240" w:lineRule="auto"/>
              <w:jc w:val="both"/>
              <w:rPr>
                <w:rFonts w:ascii="Arial" w:hAnsi="Arial" w:cs="Arial"/>
                <w:bCs/>
                <w:iCs/>
                <w:color w:val="000000"/>
                <w:sz w:val="18"/>
                <w:szCs w:val="18"/>
              </w:rPr>
            </w:pPr>
            <w:r>
              <w:rPr>
                <w:rFonts w:ascii="Arial" w:hAnsi="Arial" w:cs="Arial"/>
                <w:bCs/>
                <w:iCs/>
                <w:color w:val="000000"/>
                <w:sz w:val="18"/>
                <w:szCs w:val="18"/>
              </w:rPr>
              <w:t>Kesesuaian dengan Spesifikasi.</w:t>
            </w:r>
          </w:p>
        </w:tc>
        <w:tc>
          <w:tcPr>
            <w:tcW w:w="1837" w:type="dxa"/>
            <w:vMerge w:val="continue"/>
            <w:shd w:val="clear" w:color="auto" w:fill="FFFFFF"/>
            <w:vAlign w:val="center"/>
          </w:tcPr>
          <w:p>
            <w:pPr>
              <w:spacing w:after="0" w:line="240" w:lineRule="auto"/>
              <w:jc w:val="center"/>
              <w:rPr>
                <w:rFonts w:ascii="Arial" w:hAnsi="Arial" w:cs="Arial"/>
                <w:bCs/>
                <w:iCs/>
                <w:color w:val="000000"/>
                <w:sz w:val="18"/>
                <w:szCs w:val="18"/>
              </w:rPr>
            </w:pPr>
          </w:p>
        </w:tc>
      </w:tr>
      <w:tr>
        <w:tblPrEx>
          <w:tblBorders>
            <w:top w:val="single" w:color="auto" w:sz="18" w:space="0"/>
            <w:left w:val="none" w:color="auto" w:sz="0" w:space="0"/>
            <w:bottom w:val="single" w:color="auto" w:sz="18" w:space="0"/>
            <w:right w:val="none" w:color="auto" w:sz="0" w:space="0"/>
            <w:insideH w:val="none" w:color="auto" w:sz="0" w:space="0"/>
            <w:insideV w:val="none" w:color="auto" w:sz="0" w:space="0"/>
          </w:tblBorders>
          <w:tblLayout w:type="fixed"/>
          <w:tblCellMar>
            <w:left w:w="108" w:type="dxa"/>
            <w:right w:w="108" w:type="dxa"/>
          </w:tblCellMar>
        </w:tblPrEx>
        <w:trPr>
          <w:trHeight w:val="324" w:hRule="atLeast"/>
          <w:jc w:val="center"/>
        </w:trPr>
        <w:tc>
          <w:tcPr>
            <w:tcW w:w="1839" w:type="dxa"/>
            <w:tcBorders>
              <w:top w:val="nil"/>
              <w:bottom w:val="single" w:color="auto" w:sz="18" w:space="0"/>
            </w:tcBorders>
            <w:shd w:val="clear" w:color="auto" w:fill="FFFFFF"/>
            <w:vAlign w:val="top"/>
          </w:tcPr>
          <w:p>
            <w:pPr>
              <w:spacing w:after="0" w:line="240" w:lineRule="auto"/>
              <w:jc w:val="both"/>
              <w:rPr>
                <w:rFonts w:ascii="Arial" w:hAnsi="Arial" w:cs="Arial"/>
                <w:iCs/>
                <w:color w:val="000000"/>
                <w:sz w:val="18"/>
                <w:szCs w:val="18"/>
              </w:rPr>
            </w:pPr>
          </w:p>
        </w:tc>
        <w:tc>
          <w:tcPr>
            <w:tcW w:w="5103" w:type="dxa"/>
            <w:tcBorders>
              <w:top w:val="nil"/>
              <w:bottom w:val="single" w:color="auto" w:sz="18" w:space="0"/>
            </w:tcBorders>
            <w:shd w:val="clear" w:color="auto" w:fill="FFFFFF"/>
            <w:vAlign w:val="top"/>
          </w:tcPr>
          <w:p>
            <w:pPr>
              <w:spacing w:after="0" w:line="240" w:lineRule="auto"/>
              <w:jc w:val="both"/>
              <w:rPr>
                <w:rFonts w:ascii="Arial" w:hAnsi="Arial" w:cs="Arial"/>
                <w:bCs/>
                <w:iCs/>
                <w:color w:val="000000"/>
                <w:sz w:val="18"/>
                <w:szCs w:val="18"/>
              </w:rPr>
            </w:pPr>
            <w:r>
              <w:rPr>
                <w:rFonts w:ascii="Arial" w:hAnsi="Arial" w:cs="Arial"/>
                <w:bCs/>
                <w:iCs/>
                <w:color w:val="000000"/>
                <w:sz w:val="18"/>
                <w:szCs w:val="18"/>
              </w:rPr>
              <w:t>Desain Produk yang Menarik.</w:t>
            </w:r>
          </w:p>
        </w:tc>
        <w:tc>
          <w:tcPr>
            <w:tcW w:w="1837" w:type="dxa"/>
            <w:vMerge w:val="continue"/>
            <w:tcBorders>
              <w:bottom w:val="single" w:color="auto" w:sz="18" w:space="0"/>
            </w:tcBorders>
            <w:shd w:val="clear" w:color="auto" w:fill="FFFFFF"/>
            <w:vAlign w:val="center"/>
          </w:tcPr>
          <w:p>
            <w:pPr>
              <w:spacing w:after="0" w:line="240" w:lineRule="auto"/>
              <w:jc w:val="center"/>
              <w:rPr>
                <w:rFonts w:ascii="Arial" w:hAnsi="Arial" w:cs="Arial"/>
                <w:bCs/>
                <w:iCs/>
                <w:color w:val="000000"/>
                <w:sz w:val="18"/>
                <w:szCs w:val="18"/>
              </w:rPr>
            </w:pPr>
          </w:p>
        </w:tc>
      </w:tr>
      <w:tr>
        <w:tblPrEx>
          <w:tblBorders>
            <w:top w:val="single" w:color="auto" w:sz="18" w:space="0"/>
            <w:left w:val="none" w:color="auto" w:sz="0" w:space="0"/>
            <w:bottom w:val="single" w:color="auto" w:sz="18" w:space="0"/>
            <w:right w:val="none" w:color="auto" w:sz="0" w:space="0"/>
            <w:insideH w:val="none" w:color="auto" w:sz="0" w:space="0"/>
            <w:insideV w:val="none" w:color="auto" w:sz="0" w:space="0"/>
          </w:tblBorders>
          <w:tblLayout w:type="fixed"/>
          <w:tblCellMar>
            <w:left w:w="108" w:type="dxa"/>
            <w:right w:w="108" w:type="dxa"/>
          </w:tblCellMar>
        </w:tblPrEx>
        <w:trPr>
          <w:trHeight w:val="265" w:hRule="atLeast"/>
          <w:jc w:val="center"/>
        </w:trPr>
        <w:tc>
          <w:tcPr>
            <w:tcW w:w="1839" w:type="dxa"/>
            <w:tcBorders>
              <w:top w:val="single" w:color="auto" w:sz="18" w:space="0"/>
              <w:bottom w:val="nil"/>
            </w:tcBorders>
            <w:shd w:val="clear" w:color="auto" w:fill="FFFFFF"/>
            <w:vAlign w:val="top"/>
          </w:tcPr>
          <w:p>
            <w:pPr>
              <w:spacing w:after="0" w:line="240" w:lineRule="auto"/>
              <w:jc w:val="both"/>
              <w:rPr>
                <w:rFonts w:ascii="Arial" w:hAnsi="Arial" w:cs="Arial"/>
                <w:b/>
                <w:iCs/>
                <w:color w:val="000000"/>
                <w:sz w:val="18"/>
                <w:szCs w:val="18"/>
              </w:rPr>
            </w:pPr>
            <w:r>
              <w:rPr>
                <w:rFonts w:ascii="Arial" w:hAnsi="Arial" w:cs="Arial"/>
                <w:iCs/>
                <w:color w:val="000000"/>
                <w:sz w:val="18"/>
                <w:szCs w:val="18"/>
              </w:rPr>
              <w:t>Kepercayaan</w:t>
            </w:r>
          </w:p>
        </w:tc>
        <w:tc>
          <w:tcPr>
            <w:tcW w:w="5103" w:type="dxa"/>
            <w:tcBorders>
              <w:top w:val="single" w:color="auto" w:sz="18" w:space="0"/>
              <w:bottom w:val="nil"/>
            </w:tcBorders>
            <w:shd w:val="clear" w:color="auto" w:fill="FFFFFF"/>
            <w:vAlign w:val="top"/>
          </w:tcPr>
          <w:p>
            <w:pPr>
              <w:spacing w:after="0" w:line="240" w:lineRule="auto"/>
              <w:jc w:val="both"/>
              <w:rPr>
                <w:rFonts w:ascii="Arial" w:hAnsi="Arial" w:cs="Arial"/>
                <w:bCs/>
                <w:iCs/>
                <w:color w:val="000000"/>
                <w:sz w:val="18"/>
                <w:szCs w:val="18"/>
              </w:rPr>
            </w:pPr>
            <w:r>
              <w:rPr>
                <w:rFonts w:ascii="Arial" w:hAnsi="Arial" w:cs="Arial"/>
                <w:bCs/>
                <w:iCs/>
                <w:color w:val="000000"/>
                <w:sz w:val="18"/>
                <w:szCs w:val="18"/>
              </w:rPr>
              <w:t>Percaya atas Niat Baik Bank.</w:t>
            </w:r>
          </w:p>
        </w:tc>
        <w:tc>
          <w:tcPr>
            <w:tcW w:w="1837" w:type="dxa"/>
            <w:vMerge w:val="restart"/>
            <w:tcBorders>
              <w:top w:val="single" w:color="auto" w:sz="18" w:space="0"/>
              <w:bottom w:val="nil"/>
            </w:tcBorders>
            <w:shd w:val="clear" w:color="auto" w:fill="FFFFFF"/>
            <w:vAlign w:val="center"/>
          </w:tcPr>
          <w:p>
            <w:pPr>
              <w:spacing w:after="0" w:line="240" w:lineRule="auto"/>
              <w:jc w:val="center"/>
              <w:rPr>
                <w:rFonts w:ascii="Arial" w:hAnsi="Arial" w:cs="Arial"/>
                <w:bCs/>
                <w:iCs/>
                <w:color w:val="000000"/>
                <w:sz w:val="18"/>
                <w:szCs w:val="18"/>
              </w:rPr>
            </w:pPr>
            <w:r>
              <w:rPr>
                <w:rFonts w:ascii="Arial" w:hAnsi="Arial" w:cs="Arial"/>
                <w:bCs/>
                <w:iCs/>
                <w:color w:val="000000"/>
                <w:sz w:val="18"/>
                <w:szCs w:val="18"/>
              </w:rPr>
              <w:t>1 Pertanyaan</w:t>
            </w:r>
          </w:p>
        </w:tc>
      </w:tr>
      <w:tr>
        <w:tblPrEx>
          <w:tblBorders>
            <w:top w:val="single" w:color="auto" w:sz="18" w:space="0"/>
            <w:left w:val="none" w:color="auto" w:sz="0" w:space="0"/>
            <w:bottom w:val="single" w:color="auto" w:sz="18" w:space="0"/>
            <w:right w:val="none" w:color="auto" w:sz="0" w:space="0"/>
            <w:insideH w:val="none" w:color="auto" w:sz="0" w:space="0"/>
            <w:insideV w:val="none" w:color="auto" w:sz="0" w:space="0"/>
          </w:tblBorders>
          <w:tblLayout w:type="fixed"/>
          <w:tblCellMar>
            <w:left w:w="108" w:type="dxa"/>
            <w:right w:w="108" w:type="dxa"/>
          </w:tblCellMar>
        </w:tblPrEx>
        <w:trPr>
          <w:trHeight w:val="275" w:hRule="atLeast"/>
          <w:jc w:val="center"/>
        </w:trPr>
        <w:tc>
          <w:tcPr>
            <w:tcW w:w="1839" w:type="dxa"/>
            <w:tcBorders>
              <w:top w:val="nil"/>
            </w:tcBorders>
            <w:shd w:val="clear" w:color="auto" w:fill="FFFFFF"/>
            <w:vAlign w:val="top"/>
          </w:tcPr>
          <w:p>
            <w:pPr>
              <w:spacing w:after="0" w:line="240" w:lineRule="auto"/>
              <w:jc w:val="both"/>
              <w:rPr>
                <w:rFonts w:ascii="Arial" w:hAnsi="Arial" w:cs="Arial"/>
                <w:bCs/>
                <w:iCs/>
                <w:color w:val="000000"/>
                <w:sz w:val="18"/>
                <w:szCs w:val="18"/>
              </w:rPr>
            </w:pPr>
          </w:p>
        </w:tc>
        <w:tc>
          <w:tcPr>
            <w:tcW w:w="5103" w:type="dxa"/>
            <w:tcBorders>
              <w:top w:val="nil"/>
            </w:tcBorders>
            <w:shd w:val="clear" w:color="auto" w:fill="FFFFFF"/>
            <w:vAlign w:val="top"/>
          </w:tcPr>
          <w:p>
            <w:pPr>
              <w:spacing w:after="0" w:line="240" w:lineRule="auto"/>
              <w:jc w:val="both"/>
              <w:rPr>
                <w:rFonts w:ascii="Arial" w:hAnsi="Arial" w:cs="Arial"/>
                <w:bCs/>
                <w:iCs/>
                <w:color w:val="000000"/>
                <w:sz w:val="18"/>
                <w:szCs w:val="18"/>
              </w:rPr>
            </w:pPr>
            <w:r>
              <w:rPr>
                <w:rFonts w:ascii="Arial" w:hAnsi="Arial" w:cs="Arial"/>
                <w:bCs/>
                <w:iCs/>
                <w:color w:val="000000"/>
                <w:sz w:val="18"/>
                <w:szCs w:val="18"/>
              </w:rPr>
              <w:t>Percaya atas Kejujuran Bank.</w:t>
            </w:r>
          </w:p>
        </w:tc>
        <w:tc>
          <w:tcPr>
            <w:tcW w:w="1837" w:type="dxa"/>
            <w:vMerge w:val="continue"/>
            <w:tcBorders>
              <w:top w:val="nil"/>
              <w:bottom w:val="nil"/>
            </w:tcBorders>
            <w:shd w:val="clear" w:color="auto" w:fill="FFFFFF"/>
            <w:vAlign w:val="top"/>
          </w:tcPr>
          <w:p>
            <w:pPr>
              <w:spacing w:after="0" w:line="240" w:lineRule="auto"/>
              <w:jc w:val="both"/>
              <w:rPr>
                <w:rFonts w:ascii="Arial" w:hAnsi="Arial" w:cs="Arial"/>
                <w:bCs/>
                <w:iCs/>
                <w:color w:val="000000"/>
                <w:sz w:val="18"/>
                <w:szCs w:val="18"/>
              </w:rPr>
            </w:pPr>
          </w:p>
        </w:tc>
      </w:tr>
      <w:tr>
        <w:tblPrEx>
          <w:tblBorders>
            <w:top w:val="single" w:color="auto" w:sz="18" w:space="0"/>
            <w:left w:val="none" w:color="auto" w:sz="0" w:space="0"/>
            <w:bottom w:val="single" w:color="auto" w:sz="18" w:space="0"/>
            <w:right w:val="none" w:color="auto" w:sz="0" w:space="0"/>
            <w:insideH w:val="none" w:color="auto" w:sz="0" w:space="0"/>
            <w:insideV w:val="none" w:color="auto" w:sz="0" w:space="0"/>
          </w:tblBorders>
          <w:tblLayout w:type="fixed"/>
          <w:tblCellMar>
            <w:left w:w="108" w:type="dxa"/>
            <w:right w:w="108" w:type="dxa"/>
          </w:tblCellMar>
        </w:tblPrEx>
        <w:trPr>
          <w:trHeight w:val="265" w:hRule="atLeast"/>
          <w:jc w:val="center"/>
        </w:trPr>
        <w:tc>
          <w:tcPr>
            <w:tcW w:w="1839" w:type="dxa"/>
            <w:tcBorders>
              <w:bottom w:val="nil"/>
            </w:tcBorders>
            <w:shd w:val="clear" w:color="auto" w:fill="FFFFFF"/>
            <w:vAlign w:val="top"/>
          </w:tcPr>
          <w:p>
            <w:pPr>
              <w:spacing w:after="0" w:line="240" w:lineRule="auto"/>
              <w:jc w:val="both"/>
              <w:rPr>
                <w:rFonts w:ascii="Arial" w:hAnsi="Arial" w:cs="Arial"/>
                <w:bCs/>
                <w:iCs/>
                <w:color w:val="000000"/>
                <w:sz w:val="18"/>
                <w:szCs w:val="18"/>
              </w:rPr>
            </w:pPr>
          </w:p>
        </w:tc>
        <w:tc>
          <w:tcPr>
            <w:tcW w:w="5103" w:type="dxa"/>
            <w:tcBorders>
              <w:bottom w:val="nil"/>
            </w:tcBorders>
            <w:shd w:val="clear" w:color="auto" w:fill="FFFFFF"/>
            <w:vAlign w:val="top"/>
          </w:tcPr>
          <w:p>
            <w:pPr>
              <w:spacing w:after="0" w:line="240" w:lineRule="auto"/>
              <w:jc w:val="both"/>
              <w:rPr>
                <w:rFonts w:ascii="Arial" w:hAnsi="Arial" w:cs="Arial"/>
                <w:bCs/>
                <w:iCs/>
                <w:color w:val="000000"/>
                <w:sz w:val="18"/>
                <w:szCs w:val="18"/>
              </w:rPr>
            </w:pPr>
            <w:r>
              <w:rPr>
                <w:rFonts w:ascii="Arial" w:hAnsi="Arial" w:cs="Arial"/>
                <w:bCs/>
                <w:iCs/>
                <w:color w:val="000000"/>
                <w:sz w:val="18"/>
                <w:szCs w:val="18"/>
              </w:rPr>
              <w:t>Percaya atas Kemampuan Karyawan.</w:t>
            </w:r>
          </w:p>
        </w:tc>
        <w:tc>
          <w:tcPr>
            <w:tcW w:w="1837" w:type="dxa"/>
            <w:vMerge w:val="continue"/>
            <w:tcBorders>
              <w:top w:val="nil"/>
              <w:bottom w:val="nil"/>
            </w:tcBorders>
            <w:shd w:val="clear" w:color="auto" w:fill="FFFFFF"/>
            <w:vAlign w:val="top"/>
          </w:tcPr>
          <w:p>
            <w:pPr>
              <w:spacing w:after="0" w:line="240" w:lineRule="auto"/>
              <w:jc w:val="both"/>
              <w:rPr>
                <w:rFonts w:ascii="Arial" w:hAnsi="Arial" w:cs="Arial"/>
                <w:bCs/>
                <w:iCs/>
                <w:color w:val="000000"/>
                <w:sz w:val="18"/>
                <w:szCs w:val="18"/>
              </w:rPr>
            </w:pPr>
          </w:p>
        </w:tc>
      </w:tr>
      <w:tr>
        <w:tblPrEx>
          <w:tblBorders>
            <w:top w:val="single" w:color="auto" w:sz="18" w:space="0"/>
            <w:left w:val="none" w:color="auto" w:sz="0" w:space="0"/>
            <w:bottom w:val="single" w:color="auto" w:sz="18" w:space="0"/>
            <w:right w:val="none" w:color="auto" w:sz="0" w:space="0"/>
            <w:insideH w:val="none" w:color="auto" w:sz="0" w:space="0"/>
            <w:insideV w:val="none" w:color="auto" w:sz="0" w:space="0"/>
          </w:tblBorders>
          <w:tblLayout w:type="fixed"/>
          <w:tblCellMar>
            <w:left w:w="108" w:type="dxa"/>
            <w:right w:w="108" w:type="dxa"/>
          </w:tblCellMar>
        </w:tblPrEx>
        <w:trPr>
          <w:trHeight w:val="283" w:hRule="atLeast"/>
          <w:jc w:val="center"/>
        </w:trPr>
        <w:tc>
          <w:tcPr>
            <w:tcW w:w="1839" w:type="dxa"/>
            <w:tcBorders>
              <w:top w:val="nil"/>
              <w:bottom w:val="nil"/>
            </w:tcBorders>
            <w:shd w:val="clear" w:color="auto" w:fill="FFFFFF"/>
            <w:vAlign w:val="top"/>
          </w:tcPr>
          <w:p>
            <w:pPr>
              <w:spacing w:after="0" w:line="240" w:lineRule="auto"/>
              <w:jc w:val="both"/>
              <w:rPr>
                <w:rFonts w:ascii="Arial" w:hAnsi="Arial" w:cs="Arial"/>
                <w:bCs/>
                <w:iCs/>
                <w:color w:val="000000"/>
                <w:sz w:val="18"/>
                <w:szCs w:val="18"/>
              </w:rPr>
            </w:pPr>
          </w:p>
        </w:tc>
        <w:tc>
          <w:tcPr>
            <w:tcW w:w="5103" w:type="dxa"/>
            <w:tcBorders>
              <w:top w:val="nil"/>
              <w:bottom w:val="nil"/>
            </w:tcBorders>
            <w:shd w:val="clear" w:color="auto" w:fill="FFFFFF"/>
            <w:vAlign w:val="top"/>
          </w:tcPr>
          <w:p>
            <w:pPr>
              <w:spacing w:after="0" w:line="240" w:lineRule="auto"/>
              <w:jc w:val="both"/>
              <w:rPr>
                <w:rFonts w:ascii="Arial" w:hAnsi="Arial" w:cs="Arial"/>
                <w:bCs/>
                <w:iCs/>
                <w:color w:val="000000"/>
                <w:sz w:val="18"/>
                <w:szCs w:val="18"/>
              </w:rPr>
            </w:pPr>
            <w:r>
              <w:rPr>
                <w:rFonts w:ascii="Arial" w:hAnsi="Arial" w:cs="Arial"/>
                <w:bCs/>
                <w:iCs/>
                <w:color w:val="000000"/>
                <w:sz w:val="18"/>
                <w:szCs w:val="18"/>
              </w:rPr>
              <w:t>Kesediaan untuk Bergantung.</w:t>
            </w:r>
          </w:p>
        </w:tc>
        <w:tc>
          <w:tcPr>
            <w:tcW w:w="1837" w:type="dxa"/>
            <w:vMerge w:val="continue"/>
            <w:tcBorders>
              <w:top w:val="nil"/>
              <w:bottom w:val="nil"/>
            </w:tcBorders>
            <w:shd w:val="clear" w:color="auto" w:fill="FFFFFF"/>
            <w:vAlign w:val="top"/>
          </w:tcPr>
          <w:p>
            <w:pPr>
              <w:spacing w:after="0" w:line="240" w:lineRule="auto"/>
              <w:jc w:val="both"/>
              <w:rPr>
                <w:rFonts w:ascii="Arial" w:hAnsi="Arial" w:cs="Arial"/>
                <w:bCs/>
                <w:iCs/>
                <w:color w:val="000000"/>
                <w:sz w:val="18"/>
                <w:szCs w:val="18"/>
              </w:rPr>
            </w:pPr>
          </w:p>
        </w:tc>
      </w:tr>
      <w:tr>
        <w:tblPrEx>
          <w:tblBorders>
            <w:top w:val="single" w:color="auto" w:sz="18" w:space="0"/>
            <w:left w:val="none" w:color="auto" w:sz="0" w:space="0"/>
            <w:bottom w:val="single" w:color="auto" w:sz="18" w:space="0"/>
            <w:right w:val="none" w:color="auto" w:sz="0" w:space="0"/>
            <w:insideH w:val="none" w:color="auto" w:sz="0" w:space="0"/>
            <w:insideV w:val="none" w:color="auto" w:sz="0" w:space="0"/>
          </w:tblBorders>
          <w:tblLayout w:type="fixed"/>
          <w:tblCellMar>
            <w:left w:w="108" w:type="dxa"/>
            <w:right w:w="108" w:type="dxa"/>
          </w:tblCellMar>
        </w:tblPrEx>
        <w:trPr>
          <w:trHeight w:val="283" w:hRule="atLeast"/>
          <w:jc w:val="center"/>
        </w:trPr>
        <w:tc>
          <w:tcPr>
            <w:tcW w:w="1839" w:type="dxa"/>
            <w:tcBorders>
              <w:top w:val="nil"/>
              <w:bottom w:val="single" w:color="auto" w:sz="18" w:space="0"/>
            </w:tcBorders>
            <w:shd w:val="clear" w:color="auto" w:fill="FFFFFF"/>
            <w:vAlign w:val="top"/>
          </w:tcPr>
          <w:p>
            <w:pPr>
              <w:spacing w:after="0" w:line="240" w:lineRule="auto"/>
              <w:jc w:val="both"/>
              <w:rPr>
                <w:rFonts w:ascii="Arial" w:hAnsi="Arial" w:cs="Arial"/>
                <w:bCs/>
                <w:iCs/>
                <w:color w:val="000000"/>
                <w:sz w:val="18"/>
                <w:szCs w:val="18"/>
              </w:rPr>
            </w:pPr>
          </w:p>
        </w:tc>
        <w:tc>
          <w:tcPr>
            <w:tcW w:w="5103" w:type="dxa"/>
            <w:tcBorders>
              <w:top w:val="nil"/>
              <w:bottom w:val="single" w:color="auto" w:sz="18" w:space="0"/>
            </w:tcBorders>
            <w:shd w:val="clear" w:color="auto" w:fill="FFFFFF"/>
            <w:vAlign w:val="top"/>
          </w:tcPr>
          <w:p>
            <w:pPr>
              <w:spacing w:after="0" w:line="240" w:lineRule="auto"/>
              <w:jc w:val="both"/>
              <w:rPr>
                <w:rFonts w:ascii="Arial" w:hAnsi="Arial" w:cs="Arial"/>
                <w:bCs/>
                <w:iCs/>
                <w:color w:val="000000"/>
                <w:sz w:val="18"/>
                <w:szCs w:val="18"/>
              </w:rPr>
            </w:pPr>
            <w:r>
              <w:rPr>
                <w:rFonts w:ascii="Arial" w:hAnsi="Arial" w:cs="Arial"/>
                <w:bCs/>
                <w:iCs/>
                <w:color w:val="000000"/>
                <w:sz w:val="18"/>
                <w:szCs w:val="18"/>
              </w:rPr>
              <w:t>Peluang Subjektif untuk Bergantung.</w:t>
            </w:r>
          </w:p>
        </w:tc>
        <w:tc>
          <w:tcPr>
            <w:tcW w:w="1837" w:type="dxa"/>
            <w:vMerge w:val="continue"/>
            <w:tcBorders>
              <w:top w:val="nil"/>
              <w:bottom w:val="single" w:color="auto" w:sz="18" w:space="0"/>
            </w:tcBorders>
            <w:shd w:val="clear" w:color="auto" w:fill="FFFFFF"/>
            <w:vAlign w:val="top"/>
          </w:tcPr>
          <w:p>
            <w:pPr>
              <w:spacing w:after="0" w:line="240" w:lineRule="auto"/>
              <w:jc w:val="both"/>
              <w:rPr>
                <w:rFonts w:ascii="Arial" w:hAnsi="Arial" w:cs="Arial"/>
                <w:bCs/>
                <w:iCs/>
                <w:color w:val="000000"/>
                <w:sz w:val="18"/>
                <w:szCs w:val="18"/>
              </w:rPr>
            </w:pPr>
          </w:p>
        </w:tc>
      </w:tr>
      <w:tr>
        <w:tblPrEx>
          <w:tblBorders>
            <w:top w:val="single" w:color="auto" w:sz="18" w:space="0"/>
            <w:left w:val="none" w:color="auto" w:sz="0" w:space="0"/>
            <w:bottom w:val="single" w:color="auto" w:sz="18" w:space="0"/>
            <w:right w:val="none" w:color="auto" w:sz="0" w:space="0"/>
            <w:insideH w:val="none" w:color="auto" w:sz="0" w:space="0"/>
            <w:insideV w:val="none" w:color="auto" w:sz="0" w:space="0"/>
          </w:tblBorders>
          <w:tblLayout w:type="fixed"/>
          <w:tblCellMar>
            <w:left w:w="108" w:type="dxa"/>
            <w:right w:w="108" w:type="dxa"/>
          </w:tblCellMar>
        </w:tblPrEx>
        <w:trPr>
          <w:trHeight w:val="265" w:hRule="atLeast"/>
          <w:jc w:val="center"/>
        </w:trPr>
        <w:tc>
          <w:tcPr>
            <w:tcW w:w="1839" w:type="dxa"/>
            <w:tcBorders>
              <w:top w:val="single" w:color="auto" w:sz="18" w:space="0"/>
              <w:bottom w:val="nil"/>
            </w:tcBorders>
            <w:shd w:val="clear" w:color="auto" w:fill="FFFFFF"/>
            <w:vAlign w:val="top"/>
          </w:tcPr>
          <w:p>
            <w:pPr>
              <w:spacing w:after="0" w:line="240" w:lineRule="auto"/>
              <w:jc w:val="both"/>
              <w:rPr>
                <w:rFonts w:ascii="Arial" w:hAnsi="Arial" w:cs="Arial"/>
                <w:b/>
                <w:iCs/>
                <w:color w:val="000000"/>
                <w:sz w:val="18"/>
                <w:szCs w:val="18"/>
              </w:rPr>
            </w:pPr>
            <w:r>
              <w:rPr>
                <w:rFonts w:ascii="Arial" w:hAnsi="Arial" w:cs="Arial"/>
                <w:iCs/>
                <w:color w:val="000000"/>
                <w:sz w:val="18"/>
                <w:szCs w:val="18"/>
              </w:rPr>
              <w:t>Nilai Nasabah</w:t>
            </w:r>
          </w:p>
        </w:tc>
        <w:tc>
          <w:tcPr>
            <w:tcW w:w="5103" w:type="dxa"/>
            <w:tcBorders>
              <w:top w:val="single" w:color="auto" w:sz="18" w:space="0"/>
              <w:bottom w:val="nil"/>
            </w:tcBorders>
            <w:shd w:val="clear" w:color="auto" w:fill="FFFFFF"/>
            <w:vAlign w:val="top"/>
          </w:tcPr>
          <w:p>
            <w:pPr>
              <w:spacing w:after="0" w:line="240" w:lineRule="auto"/>
              <w:jc w:val="both"/>
              <w:rPr>
                <w:rFonts w:ascii="Arial" w:hAnsi="Arial" w:cs="Arial"/>
                <w:bCs/>
                <w:iCs/>
                <w:color w:val="000000"/>
                <w:sz w:val="18"/>
                <w:szCs w:val="18"/>
              </w:rPr>
            </w:pPr>
            <w:r>
              <w:rPr>
                <w:rFonts w:ascii="Arial" w:hAnsi="Arial" w:cs="Arial"/>
                <w:bCs/>
                <w:iCs/>
                <w:color w:val="000000"/>
                <w:sz w:val="18"/>
                <w:szCs w:val="18"/>
              </w:rPr>
              <w:t>Nilai Fungsional.</w:t>
            </w:r>
          </w:p>
        </w:tc>
        <w:tc>
          <w:tcPr>
            <w:tcW w:w="1837" w:type="dxa"/>
            <w:vMerge w:val="restart"/>
            <w:tcBorders>
              <w:top w:val="single" w:color="auto" w:sz="18" w:space="0"/>
              <w:bottom w:val="nil"/>
            </w:tcBorders>
            <w:shd w:val="clear" w:color="auto" w:fill="FFFFFF"/>
            <w:vAlign w:val="center"/>
          </w:tcPr>
          <w:p>
            <w:pPr>
              <w:spacing w:after="0" w:line="240" w:lineRule="auto"/>
              <w:jc w:val="center"/>
              <w:rPr>
                <w:rFonts w:ascii="Arial" w:hAnsi="Arial" w:cs="Arial"/>
                <w:bCs/>
                <w:iCs/>
                <w:color w:val="000000"/>
                <w:sz w:val="18"/>
                <w:szCs w:val="18"/>
              </w:rPr>
            </w:pPr>
            <w:r>
              <w:rPr>
                <w:rFonts w:ascii="Arial" w:hAnsi="Arial" w:cs="Arial"/>
                <w:bCs/>
                <w:iCs/>
                <w:color w:val="000000"/>
                <w:sz w:val="18"/>
                <w:szCs w:val="18"/>
              </w:rPr>
              <w:t>1 Pertanyaan</w:t>
            </w:r>
          </w:p>
        </w:tc>
      </w:tr>
      <w:tr>
        <w:tblPrEx>
          <w:tblBorders>
            <w:top w:val="single" w:color="auto" w:sz="18" w:space="0"/>
            <w:left w:val="none" w:color="auto" w:sz="0" w:space="0"/>
            <w:bottom w:val="single" w:color="auto" w:sz="18" w:space="0"/>
            <w:right w:val="none" w:color="auto" w:sz="0" w:space="0"/>
            <w:insideH w:val="none" w:color="auto" w:sz="0" w:space="0"/>
            <w:insideV w:val="none" w:color="auto" w:sz="0" w:space="0"/>
          </w:tblBorders>
          <w:tblLayout w:type="fixed"/>
          <w:tblCellMar>
            <w:left w:w="108" w:type="dxa"/>
            <w:right w:w="108" w:type="dxa"/>
          </w:tblCellMar>
        </w:tblPrEx>
        <w:trPr>
          <w:trHeight w:val="283" w:hRule="atLeast"/>
          <w:jc w:val="center"/>
        </w:trPr>
        <w:tc>
          <w:tcPr>
            <w:tcW w:w="1839" w:type="dxa"/>
            <w:tcBorders>
              <w:top w:val="nil"/>
              <w:bottom w:val="nil"/>
            </w:tcBorders>
            <w:shd w:val="clear" w:color="auto" w:fill="FFFFFF"/>
            <w:vAlign w:val="top"/>
          </w:tcPr>
          <w:p>
            <w:pPr>
              <w:spacing w:after="0" w:line="240" w:lineRule="auto"/>
              <w:jc w:val="both"/>
              <w:rPr>
                <w:rFonts w:ascii="Arial" w:hAnsi="Arial" w:cs="Arial"/>
                <w:bCs/>
                <w:iCs/>
                <w:color w:val="000000"/>
                <w:sz w:val="18"/>
                <w:szCs w:val="18"/>
              </w:rPr>
            </w:pPr>
          </w:p>
        </w:tc>
        <w:tc>
          <w:tcPr>
            <w:tcW w:w="5103" w:type="dxa"/>
            <w:tcBorders>
              <w:top w:val="nil"/>
              <w:bottom w:val="nil"/>
            </w:tcBorders>
            <w:shd w:val="clear" w:color="auto" w:fill="FFFFFF"/>
            <w:vAlign w:val="top"/>
          </w:tcPr>
          <w:p>
            <w:pPr>
              <w:spacing w:after="0" w:line="240" w:lineRule="auto"/>
              <w:jc w:val="both"/>
              <w:rPr>
                <w:rFonts w:ascii="Arial" w:hAnsi="Arial" w:cs="Arial"/>
                <w:bCs/>
                <w:iCs/>
                <w:color w:val="000000"/>
                <w:sz w:val="18"/>
                <w:szCs w:val="18"/>
              </w:rPr>
            </w:pPr>
            <w:r>
              <w:rPr>
                <w:rFonts w:ascii="Arial" w:hAnsi="Arial" w:cs="Arial"/>
                <w:bCs/>
                <w:iCs/>
                <w:color w:val="000000"/>
                <w:sz w:val="18"/>
                <w:szCs w:val="18"/>
              </w:rPr>
              <w:t>Nilai Sosial.</w:t>
            </w:r>
          </w:p>
        </w:tc>
        <w:tc>
          <w:tcPr>
            <w:tcW w:w="1837" w:type="dxa"/>
            <w:vMerge w:val="continue"/>
            <w:tcBorders>
              <w:top w:val="nil"/>
              <w:bottom w:val="nil"/>
            </w:tcBorders>
            <w:shd w:val="clear" w:color="auto" w:fill="FFFFFF"/>
            <w:vAlign w:val="top"/>
          </w:tcPr>
          <w:p>
            <w:pPr>
              <w:spacing w:after="0" w:line="240" w:lineRule="auto"/>
              <w:jc w:val="both"/>
              <w:rPr>
                <w:rFonts w:ascii="Arial" w:hAnsi="Arial" w:cs="Arial"/>
                <w:bCs/>
                <w:iCs/>
                <w:color w:val="000000"/>
                <w:sz w:val="18"/>
                <w:szCs w:val="18"/>
              </w:rPr>
            </w:pPr>
          </w:p>
        </w:tc>
      </w:tr>
      <w:tr>
        <w:tblPrEx>
          <w:tblBorders>
            <w:top w:val="single" w:color="auto" w:sz="18" w:space="0"/>
            <w:left w:val="none" w:color="auto" w:sz="0" w:space="0"/>
            <w:bottom w:val="single" w:color="auto" w:sz="18" w:space="0"/>
            <w:right w:val="none" w:color="auto" w:sz="0" w:space="0"/>
            <w:insideH w:val="none" w:color="auto" w:sz="0" w:space="0"/>
            <w:insideV w:val="none" w:color="auto" w:sz="0" w:space="0"/>
          </w:tblBorders>
          <w:tblLayout w:type="fixed"/>
          <w:tblCellMar>
            <w:left w:w="108" w:type="dxa"/>
            <w:right w:w="108" w:type="dxa"/>
          </w:tblCellMar>
        </w:tblPrEx>
        <w:trPr>
          <w:trHeight w:val="283" w:hRule="atLeast"/>
          <w:jc w:val="center"/>
        </w:trPr>
        <w:tc>
          <w:tcPr>
            <w:tcW w:w="1839" w:type="dxa"/>
            <w:tcBorders>
              <w:top w:val="nil"/>
              <w:bottom w:val="nil"/>
            </w:tcBorders>
            <w:shd w:val="clear" w:color="auto" w:fill="FFFFFF"/>
            <w:vAlign w:val="top"/>
          </w:tcPr>
          <w:p>
            <w:pPr>
              <w:spacing w:after="0" w:line="240" w:lineRule="auto"/>
              <w:jc w:val="both"/>
              <w:rPr>
                <w:rFonts w:ascii="Arial" w:hAnsi="Arial" w:cs="Arial"/>
                <w:bCs/>
                <w:iCs/>
                <w:color w:val="000000"/>
                <w:sz w:val="18"/>
                <w:szCs w:val="18"/>
              </w:rPr>
            </w:pPr>
          </w:p>
        </w:tc>
        <w:tc>
          <w:tcPr>
            <w:tcW w:w="5103" w:type="dxa"/>
            <w:tcBorders>
              <w:top w:val="nil"/>
              <w:bottom w:val="nil"/>
            </w:tcBorders>
            <w:shd w:val="clear" w:color="auto" w:fill="FFFFFF"/>
            <w:vAlign w:val="top"/>
          </w:tcPr>
          <w:p>
            <w:pPr>
              <w:spacing w:after="0" w:line="240" w:lineRule="auto"/>
              <w:jc w:val="both"/>
              <w:rPr>
                <w:rFonts w:ascii="Arial" w:hAnsi="Arial" w:cs="Arial"/>
                <w:bCs/>
                <w:iCs/>
                <w:color w:val="000000"/>
                <w:sz w:val="18"/>
                <w:szCs w:val="18"/>
              </w:rPr>
            </w:pPr>
            <w:r>
              <w:rPr>
                <w:rFonts w:ascii="Arial" w:hAnsi="Arial" w:cs="Arial"/>
                <w:bCs/>
                <w:iCs/>
                <w:color w:val="000000"/>
                <w:sz w:val="18"/>
                <w:szCs w:val="18"/>
              </w:rPr>
              <w:t>Nilai Emosional.</w:t>
            </w:r>
          </w:p>
        </w:tc>
        <w:tc>
          <w:tcPr>
            <w:tcW w:w="1837" w:type="dxa"/>
            <w:vMerge w:val="continue"/>
            <w:tcBorders>
              <w:top w:val="nil"/>
              <w:bottom w:val="nil"/>
            </w:tcBorders>
            <w:shd w:val="clear" w:color="auto" w:fill="FFFFFF"/>
            <w:vAlign w:val="top"/>
          </w:tcPr>
          <w:p>
            <w:pPr>
              <w:spacing w:after="0" w:line="240" w:lineRule="auto"/>
              <w:jc w:val="both"/>
              <w:rPr>
                <w:rFonts w:ascii="Arial" w:hAnsi="Arial" w:cs="Arial"/>
                <w:bCs/>
                <w:iCs/>
                <w:color w:val="000000"/>
                <w:sz w:val="18"/>
                <w:szCs w:val="18"/>
              </w:rPr>
            </w:pPr>
          </w:p>
        </w:tc>
      </w:tr>
      <w:tr>
        <w:tblPrEx>
          <w:tblBorders>
            <w:top w:val="single" w:color="auto" w:sz="18" w:space="0"/>
            <w:left w:val="none" w:color="auto" w:sz="0" w:space="0"/>
            <w:bottom w:val="single" w:color="auto" w:sz="18" w:space="0"/>
            <w:right w:val="none" w:color="auto" w:sz="0" w:space="0"/>
            <w:insideH w:val="none" w:color="auto" w:sz="0" w:space="0"/>
            <w:insideV w:val="none" w:color="auto" w:sz="0" w:space="0"/>
          </w:tblBorders>
          <w:tblLayout w:type="fixed"/>
          <w:tblCellMar>
            <w:left w:w="108" w:type="dxa"/>
            <w:right w:w="108" w:type="dxa"/>
          </w:tblCellMar>
        </w:tblPrEx>
        <w:trPr>
          <w:trHeight w:val="283" w:hRule="atLeast"/>
          <w:jc w:val="center"/>
        </w:trPr>
        <w:tc>
          <w:tcPr>
            <w:tcW w:w="1839" w:type="dxa"/>
            <w:tcBorders>
              <w:top w:val="nil"/>
              <w:bottom w:val="single" w:color="auto" w:sz="18" w:space="0"/>
            </w:tcBorders>
            <w:shd w:val="clear" w:color="auto" w:fill="FFFFFF"/>
            <w:vAlign w:val="top"/>
          </w:tcPr>
          <w:p>
            <w:pPr>
              <w:spacing w:after="0" w:line="240" w:lineRule="auto"/>
              <w:jc w:val="both"/>
              <w:rPr>
                <w:rFonts w:ascii="Arial" w:hAnsi="Arial" w:cs="Arial"/>
                <w:bCs/>
                <w:iCs/>
                <w:color w:val="000000"/>
                <w:sz w:val="18"/>
                <w:szCs w:val="18"/>
              </w:rPr>
            </w:pPr>
          </w:p>
        </w:tc>
        <w:tc>
          <w:tcPr>
            <w:tcW w:w="5103" w:type="dxa"/>
            <w:tcBorders>
              <w:top w:val="nil"/>
              <w:bottom w:val="single" w:color="auto" w:sz="18" w:space="0"/>
            </w:tcBorders>
            <w:shd w:val="clear" w:color="auto" w:fill="FFFFFF"/>
            <w:vAlign w:val="top"/>
          </w:tcPr>
          <w:p>
            <w:pPr>
              <w:spacing w:after="0" w:line="240" w:lineRule="auto"/>
              <w:jc w:val="both"/>
              <w:rPr>
                <w:rFonts w:ascii="Arial" w:hAnsi="Arial" w:cs="Arial"/>
                <w:bCs/>
                <w:iCs/>
                <w:color w:val="000000"/>
                <w:sz w:val="18"/>
                <w:szCs w:val="18"/>
              </w:rPr>
            </w:pPr>
            <w:r>
              <w:rPr>
                <w:rFonts w:ascii="Arial" w:hAnsi="Arial" w:cs="Arial"/>
                <w:bCs/>
                <w:iCs/>
                <w:color w:val="000000"/>
                <w:sz w:val="18"/>
                <w:szCs w:val="18"/>
              </w:rPr>
              <w:t>Nilai Spiritual.</w:t>
            </w:r>
          </w:p>
        </w:tc>
        <w:tc>
          <w:tcPr>
            <w:tcW w:w="1837" w:type="dxa"/>
            <w:vMerge w:val="continue"/>
            <w:tcBorders>
              <w:top w:val="nil"/>
              <w:bottom w:val="single" w:color="auto" w:sz="18" w:space="0"/>
            </w:tcBorders>
            <w:shd w:val="clear" w:color="auto" w:fill="FFFFFF"/>
            <w:vAlign w:val="top"/>
          </w:tcPr>
          <w:p>
            <w:pPr>
              <w:spacing w:after="0" w:line="240" w:lineRule="auto"/>
              <w:jc w:val="both"/>
              <w:rPr>
                <w:rFonts w:ascii="Arial" w:hAnsi="Arial" w:cs="Arial"/>
                <w:bCs/>
                <w:iCs/>
                <w:color w:val="000000"/>
                <w:sz w:val="18"/>
                <w:szCs w:val="18"/>
              </w:rPr>
            </w:pPr>
          </w:p>
        </w:tc>
      </w:tr>
      <w:tr>
        <w:tblPrEx>
          <w:tblBorders>
            <w:top w:val="single" w:color="auto" w:sz="18" w:space="0"/>
            <w:left w:val="none" w:color="auto" w:sz="0" w:space="0"/>
            <w:bottom w:val="single" w:color="auto" w:sz="18" w:space="0"/>
            <w:right w:val="none" w:color="auto" w:sz="0" w:space="0"/>
            <w:insideH w:val="none" w:color="auto" w:sz="0" w:space="0"/>
            <w:insideV w:val="none" w:color="auto" w:sz="0" w:space="0"/>
          </w:tblBorders>
          <w:tblLayout w:type="fixed"/>
          <w:tblCellMar>
            <w:left w:w="108" w:type="dxa"/>
            <w:right w:w="108" w:type="dxa"/>
          </w:tblCellMar>
        </w:tblPrEx>
        <w:trPr>
          <w:trHeight w:val="289" w:hRule="atLeast"/>
          <w:jc w:val="center"/>
        </w:trPr>
        <w:tc>
          <w:tcPr>
            <w:tcW w:w="1839" w:type="dxa"/>
            <w:tcBorders>
              <w:top w:val="single" w:color="auto" w:sz="18" w:space="0"/>
              <w:bottom w:val="nil"/>
            </w:tcBorders>
            <w:shd w:val="clear" w:color="auto" w:fill="FFFFFF"/>
            <w:vAlign w:val="top"/>
          </w:tcPr>
          <w:p>
            <w:pPr>
              <w:spacing w:after="0" w:line="240" w:lineRule="auto"/>
              <w:jc w:val="both"/>
              <w:rPr>
                <w:rFonts w:ascii="Arial" w:hAnsi="Arial" w:cs="Arial"/>
                <w:b/>
                <w:iCs/>
                <w:color w:val="000000"/>
                <w:sz w:val="18"/>
                <w:szCs w:val="18"/>
              </w:rPr>
            </w:pPr>
            <w:r>
              <w:rPr>
                <w:rFonts w:ascii="Arial" w:hAnsi="Arial" w:cs="Arial"/>
                <w:iCs/>
                <w:color w:val="000000"/>
                <w:sz w:val="18"/>
                <w:szCs w:val="18"/>
              </w:rPr>
              <w:t>Kepuasan Nasabah</w:t>
            </w:r>
          </w:p>
        </w:tc>
        <w:tc>
          <w:tcPr>
            <w:tcW w:w="5103" w:type="dxa"/>
            <w:tcBorders>
              <w:top w:val="single" w:color="auto" w:sz="18" w:space="0"/>
              <w:bottom w:val="nil"/>
            </w:tcBorders>
            <w:shd w:val="clear" w:color="auto" w:fill="FFFFFF"/>
            <w:vAlign w:val="top"/>
          </w:tcPr>
          <w:p>
            <w:pPr>
              <w:spacing w:after="0" w:line="240" w:lineRule="auto"/>
              <w:jc w:val="both"/>
              <w:rPr>
                <w:rFonts w:ascii="Arial" w:hAnsi="Arial" w:cs="Arial"/>
                <w:iCs/>
                <w:color w:val="000000"/>
                <w:sz w:val="18"/>
                <w:szCs w:val="18"/>
              </w:rPr>
            </w:pPr>
            <w:r>
              <w:rPr>
                <w:rFonts w:ascii="Arial" w:hAnsi="Arial" w:cs="Arial"/>
                <w:color w:val="000000"/>
                <w:sz w:val="18"/>
                <w:szCs w:val="18"/>
              </w:rPr>
              <w:t>Puas atas Operasional yang Sesuai dengan Hukum Islam.</w:t>
            </w:r>
          </w:p>
        </w:tc>
        <w:tc>
          <w:tcPr>
            <w:tcW w:w="1837" w:type="dxa"/>
            <w:vMerge w:val="restart"/>
            <w:tcBorders>
              <w:top w:val="single" w:color="auto" w:sz="18" w:space="0"/>
              <w:bottom w:val="nil"/>
            </w:tcBorders>
            <w:shd w:val="clear" w:color="auto" w:fill="FFFFFF"/>
            <w:vAlign w:val="center"/>
          </w:tcPr>
          <w:p>
            <w:pPr>
              <w:spacing w:after="0" w:line="240" w:lineRule="auto"/>
              <w:jc w:val="center"/>
              <w:rPr>
                <w:rFonts w:ascii="Arial" w:hAnsi="Arial" w:cs="Arial"/>
                <w:bCs/>
                <w:iCs/>
                <w:color w:val="000000"/>
                <w:sz w:val="18"/>
                <w:szCs w:val="18"/>
              </w:rPr>
            </w:pPr>
            <w:r>
              <w:rPr>
                <w:rFonts w:ascii="Arial" w:hAnsi="Arial" w:cs="Arial"/>
                <w:bCs/>
                <w:iCs/>
                <w:color w:val="000000"/>
                <w:sz w:val="18"/>
                <w:szCs w:val="18"/>
              </w:rPr>
              <w:t>1 Pertanyaan</w:t>
            </w:r>
          </w:p>
        </w:tc>
      </w:tr>
      <w:tr>
        <w:tblPrEx>
          <w:tblBorders>
            <w:top w:val="single" w:color="auto" w:sz="18" w:space="0"/>
            <w:left w:val="none" w:color="auto" w:sz="0" w:space="0"/>
            <w:bottom w:val="single" w:color="auto" w:sz="18" w:space="0"/>
            <w:right w:val="none" w:color="auto" w:sz="0" w:space="0"/>
            <w:insideH w:val="none" w:color="auto" w:sz="0" w:space="0"/>
            <w:insideV w:val="none" w:color="auto" w:sz="0" w:space="0"/>
          </w:tblBorders>
          <w:tblLayout w:type="fixed"/>
          <w:tblCellMar>
            <w:left w:w="108" w:type="dxa"/>
            <w:right w:w="108" w:type="dxa"/>
          </w:tblCellMar>
        </w:tblPrEx>
        <w:trPr>
          <w:trHeight w:val="283" w:hRule="atLeast"/>
          <w:jc w:val="center"/>
        </w:trPr>
        <w:tc>
          <w:tcPr>
            <w:tcW w:w="1839" w:type="dxa"/>
            <w:tcBorders>
              <w:top w:val="nil"/>
            </w:tcBorders>
            <w:shd w:val="clear" w:color="auto" w:fill="FFFFFF"/>
            <w:vAlign w:val="top"/>
          </w:tcPr>
          <w:p>
            <w:pPr>
              <w:spacing w:after="0" w:line="240" w:lineRule="auto"/>
              <w:jc w:val="both"/>
              <w:rPr>
                <w:rFonts w:ascii="Arial" w:hAnsi="Arial" w:cs="Arial"/>
                <w:bCs/>
                <w:iCs/>
                <w:color w:val="000000"/>
                <w:sz w:val="18"/>
                <w:szCs w:val="18"/>
              </w:rPr>
            </w:pPr>
          </w:p>
        </w:tc>
        <w:tc>
          <w:tcPr>
            <w:tcW w:w="5103" w:type="dxa"/>
            <w:tcBorders>
              <w:top w:val="nil"/>
            </w:tcBorders>
            <w:shd w:val="clear" w:color="auto" w:fill="FFFFFF"/>
            <w:vAlign w:val="top"/>
          </w:tcPr>
          <w:p>
            <w:pPr>
              <w:spacing w:after="0" w:line="240" w:lineRule="auto"/>
              <w:jc w:val="both"/>
              <w:rPr>
                <w:rFonts w:ascii="Arial" w:hAnsi="Arial" w:cs="Arial"/>
                <w:iCs/>
                <w:color w:val="000000"/>
                <w:sz w:val="18"/>
                <w:szCs w:val="18"/>
              </w:rPr>
            </w:pPr>
            <w:r>
              <w:rPr>
                <w:rFonts w:ascii="Arial" w:hAnsi="Arial" w:cs="Arial"/>
                <w:iCs/>
                <w:color w:val="000000"/>
                <w:sz w:val="18"/>
                <w:szCs w:val="18"/>
              </w:rPr>
              <w:t>Puas atas Sikap Karyawan yang Sopan dan Ramah.</w:t>
            </w:r>
          </w:p>
        </w:tc>
        <w:tc>
          <w:tcPr>
            <w:tcW w:w="1837" w:type="dxa"/>
            <w:vMerge w:val="continue"/>
            <w:tcBorders>
              <w:top w:val="nil"/>
            </w:tcBorders>
            <w:shd w:val="clear" w:color="auto" w:fill="FFFFFF"/>
            <w:vAlign w:val="top"/>
          </w:tcPr>
          <w:p>
            <w:pPr>
              <w:spacing w:after="0" w:line="240" w:lineRule="auto"/>
              <w:jc w:val="both"/>
              <w:rPr>
                <w:rFonts w:ascii="Arial" w:hAnsi="Arial" w:cs="Arial"/>
                <w:bCs/>
                <w:iCs/>
                <w:color w:val="000000"/>
                <w:sz w:val="18"/>
                <w:szCs w:val="18"/>
              </w:rPr>
            </w:pPr>
          </w:p>
        </w:tc>
      </w:tr>
      <w:tr>
        <w:tblPrEx>
          <w:tblBorders>
            <w:top w:val="single" w:color="auto" w:sz="18" w:space="0"/>
            <w:left w:val="none" w:color="auto" w:sz="0" w:space="0"/>
            <w:bottom w:val="single" w:color="auto" w:sz="18" w:space="0"/>
            <w:right w:val="none" w:color="auto" w:sz="0" w:space="0"/>
            <w:insideH w:val="none" w:color="auto" w:sz="0" w:space="0"/>
            <w:insideV w:val="none" w:color="auto" w:sz="0" w:space="0"/>
          </w:tblBorders>
          <w:tblLayout w:type="fixed"/>
          <w:tblCellMar>
            <w:left w:w="108" w:type="dxa"/>
            <w:right w:w="108" w:type="dxa"/>
          </w:tblCellMar>
        </w:tblPrEx>
        <w:trPr>
          <w:trHeight w:val="301" w:hRule="atLeast"/>
          <w:jc w:val="center"/>
        </w:trPr>
        <w:tc>
          <w:tcPr>
            <w:tcW w:w="1839" w:type="dxa"/>
            <w:shd w:val="clear" w:color="auto" w:fill="FFFFFF"/>
            <w:vAlign w:val="top"/>
          </w:tcPr>
          <w:p>
            <w:pPr>
              <w:spacing w:after="0" w:line="240" w:lineRule="auto"/>
              <w:jc w:val="both"/>
              <w:rPr>
                <w:rFonts w:ascii="Arial" w:hAnsi="Arial" w:cs="Arial"/>
                <w:bCs/>
                <w:iCs/>
                <w:color w:val="000000"/>
                <w:sz w:val="18"/>
                <w:szCs w:val="18"/>
              </w:rPr>
            </w:pPr>
          </w:p>
        </w:tc>
        <w:tc>
          <w:tcPr>
            <w:tcW w:w="5103" w:type="dxa"/>
            <w:shd w:val="clear" w:color="auto" w:fill="FFFFFF"/>
            <w:vAlign w:val="top"/>
          </w:tcPr>
          <w:p>
            <w:pPr>
              <w:spacing w:after="0" w:line="240" w:lineRule="auto"/>
              <w:jc w:val="both"/>
              <w:rPr>
                <w:rFonts w:ascii="Arial" w:hAnsi="Arial" w:cs="Arial"/>
                <w:iCs/>
                <w:color w:val="000000"/>
                <w:sz w:val="18"/>
                <w:szCs w:val="18"/>
              </w:rPr>
            </w:pPr>
            <w:r>
              <w:rPr>
                <w:rFonts w:ascii="Arial" w:hAnsi="Arial" w:cs="Arial"/>
                <w:color w:val="000000"/>
                <w:sz w:val="18"/>
                <w:szCs w:val="18"/>
              </w:rPr>
              <w:t>Puas atas Pemberian Pelayanan yang Tepat Waktu.</w:t>
            </w:r>
          </w:p>
        </w:tc>
        <w:tc>
          <w:tcPr>
            <w:tcW w:w="1837" w:type="dxa"/>
            <w:vMerge w:val="continue"/>
            <w:shd w:val="clear" w:color="auto" w:fill="FFFFFF"/>
            <w:vAlign w:val="top"/>
          </w:tcPr>
          <w:p>
            <w:pPr>
              <w:spacing w:after="0" w:line="240" w:lineRule="auto"/>
              <w:jc w:val="both"/>
              <w:rPr>
                <w:rFonts w:ascii="Arial" w:hAnsi="Arial" w:cs="Arial"/>
                <w:bCs/>
                <w:iCs/>
                <w:color w:val="000000"/>
                <w:sz w:val="18"/>
                <w:szCs w:val="18"/>
              </w:rPr>
            </w:pPr>
          </w:p>
        </w:tc>
      </w:tr>
      <w:tr>
        <w:tblPrEx>
          <w:tblBorders>
            <w:top w:val="single" w:color="auto" w:sz="18" w:space="0"/>
            <w:left w:val="none" w:color="auto" w:sz="0" w:space="0"/>
            <w:bottom w:val="single" w:color="auto" w:sz="18" w:space="0"/>
            <w:right w:val="none" w:color="auto" w:sz="0" w:space="0"/>
            <w:insideH w:val="none" w:color="auto" w:sz="0" w:space="0"/>
            <w:insideV w:val="none" w:color="auto" w:sz="0" w:space="0"/>
          </w:tblBorders>
          <w:tblLayout w:type="fixed"/>
          <w:tblCellMar>
            <w:left w:w="108" w:type="dxa"/>
            <w:right w:w="108" w:type="dxa"/>
          </w:tblCellMar>
        </w:tblPrEx>
        <w:trPr>
          <w:trHeight w:val="265" w:hRule="atLeast"/>
          <w:jc w:val="center"/>
        </w:trPr>
        <w:tc>
          <w:tcPr>
            <w:tcW w:w="1839" w:type="dxa"/>
            <w:shd w:val="clear" w:color="auto" w:fill="FFFFFF"/>
            <w:vAlign w:val="top"/>
          </w:tcPr>
          <w:p>
            <w:pPr>
              <w:spacing w:after="0" w:line="240" w:lineRule="auto"/>
              <w:jc w:val="both"/>
              <w:rPr>
                <w:rFonts w:ascii="Arial" w:hAnsi="Arial" w:cs="Arial"/>
                <w:bCs/>
                <w:iCs/>
                <w:color w:val="000000"/>
                <w:sz w:val="18"/>
                <w:szCs w:val="18"/>
              </w:rPr>
            </w:pPr>
          </w:p>
        </w:tc>
        <w:tc>
          <w:tcPr>
            <w:tcW w:w="5103" w:type="dxa"/>
            <w:shd w:val="clear" w:color="auto" w:fill="FFFFFF"/>
            <w:vAlign w:val="top"/>
          </w:tcPr>
          <w:p>
            <w:pPr>
              <w:spacing w:after="0" w:line="240" w:lineRule="auto"/>
              <w:jc w:val="both"/>
              <w:rPr>
                <w:rFonts w:ascii="Arial" w:hAnsi="Arial" w:cs="Arial"/>
                <w:iCs/>
                <w:color w:val="000000"/>
                <w:sz w:val="18"/>
                <w:szCs w:val="18"/>
              </w:rPr>
            </w:pPr>
            <w:r>
              <w:rPr>
                <w:rFonts w:ascii="Arial" w:hAnsi="Arial" w:cs="Arial"/>
                <w:color w:val="000000"/>
                <w:sz w:val="18"/>
                <w:szCs w:val="18"/>
              </w:rPr>
              <w:t xml:space="preserve">Puas atas Penampilan </w:t>
            </w:r>
            <w:r>
              <w:rPr>
                <w:rFonts w:ascii="Arial" w:hAnsi="Arial" w:cs="Arial"/>
                <w:i/>
                <w:iCs/>
                <w:color w:val="000000"/>
                <w:sz w:val="18"/>
                <w:szCs w:val="18"/>
              </w:rPr>
              <w:t>Interior</w:t>
            </w:r>
            <w:r>
              <w:rPr>
                <w:rFonts w:ascii="Arial" w:hAnsi="Arial" w:cs="Arial"/>
                <w:color w:val="000000"/>
                <w:sz w:val="18"/>
                <w:szCs w:val="18"/>
              </w:rPr>
              <w:t xml:space="preserve"> yang Nyaman.</w:t>
            </w:r>
          </w:p>
        </w:tc>
        <w:tc>
          <w:tcPr>
            <w:tcW w:w="1837" w:type="dxa"/>
            <w:vMerge w:val="continue"/>
            <w:shd w:val="clear" w:color="auto" w:fill="FFFFFF"/>
            <w:vAlign w:val="top"/>
          </w:tcPr>
          <w:p>
            <w:pPr>
              <w:spacing w:after="0" w:line="240" w:lineRule="auto"/>
              <w:jc w:val="both"/>
              <w:rPr>
                <w:rFonts w:ascii="Arial" w:hAnsi="Arial" w:cs="Arial"/>
                <w:bCs/>
                <w:iCs/>
                <w:color w:val="000000"/>
                <w:sz w:val="18"/>
                <w:szCs w:val="18"/>
              </w:rPr>
            </w:pPr>
          </w:p>
        </w:tc>
      </w:tr>
      <w:tr>
        <w:tblPrEx>
          <w:tblBorders>
            <w:top w:val="single" w:color="auto" w:sz="18" w:space="0"/>
            <w:left w:val="none" w:color="auto" w:sz="0" w:space="0"/>
            <w:bottom w:val="single" w:color="auto" w:sz="18" w:space="0"/>
            <w:right w:val="none" w:color="auto" w:sz="0" w:space="0"/>
            <w:insideH w:val="none" w:color="auto" w:sz="0" w:space="0"/>
            <w:insideV w:val="none" w:color="auto" w:sz="0" w:space="0"/>
          </w:tblBorders>
          <w:tblLayout w:type="fixed"/>
          <w:tblCellMar>
            <w:left w:w="108" w:type="dxa"/>
            <w:right w:w="108" w:type="dxa"/>
          </w:tblCellMar>
        </w:tblPrEx>
        <w:trPr>
          <w:trHeight w:val="283" w:hRule="atLeast"/>
          <w:jc w:val="center"/>
        </w:trPr>
        <w:tc>
          <w:tcPr>
            <w:tcW w:w="1839" w:type="dxa"/>
            <w:shd w:val="clear" w:color="auto" w:fill="FFFFFF"/>
            <w:vAlign w:val="top"/>
          </w:tcPr>
          <w:p>
            <w:pPr>
              <w:spacing w:after="0" w:line="240" w:lineRule="auto"/>
              <w:jc w:val="both"/>
              <w:rPr>
                <w:rFonts w:ascii="Arial" w:hAnsi="Arial" w:cs="Arial"/>
                <w:bCs/>
                <w:iCs/>
                <w:color w:val="000000"/>
                <w:sz w:val="18"/>
                <w:szCs w:val="18"/>
              </w:rPr>
            </w:pPr>
          </w:p>
        </w:tc>
        <w:tc>
          <w:tcPr>
            <w:tcW w:w="5103" w:type="dxa"/>
            <w:shd w:val="clear" w:color="auto" w:fill="FFFFFF"/>
            <w:vAlign w:val="top"/>
          </w:tcPr>
          <w:p>
            <w:pPr>
              <w:spacing w:after="0" w:line="240" w:lineRule="auto"/>
              <w:jc w:val="both"/>
              <w:rPr>
                <w:rFonts w:ascii="Arial" w:hAnsi="Arial" w:cs="Arial"/>
                <w:iCs/>
                <w:color w:val="000000"/>
                <w:sz w:val="18"/>
                <w:szCs w:val="18"/>
              </w:rPr>
            </w:pPr>
            <w:r>
              <w:rPr>
                <w:rFonts w:ascii="Arial" w:hAnsi="Arial" w:cs="Arial"/>
                <w:color w:val="000000"/>
                <w:sz w:val="18"/>
                <w:szCs w:val="18"/>
              </w:rPr>
              <w:t>Puas atas Produk dan Pelayanan yang Menguntungkan.</w:t>
            </w:r>
          </w:p>
        </w:tc>
        <w:tc>
          <w:tcPr>
            <w:tcW w:w="1837" w:type="dxa"/>
            <w:vMerge w:val="continue"/>
            <w:shd w:val="clear" w:color="auto" w:fill="FFFFFF"/>
            <w:vAlign w:val="top"/>
          </w:tcPr>
          <w:p>
            <w:pPr>
              <w:spacing w:after="0" w:line="240" w:lineRule="auto"/>
              <w:jc w:val="both"/>
              <w:rPr>
                <w:rFonts w:ascii="Arial" w:hAnsi="Arial" w:cs="Arial"/>
                <w:bCs/>
                <w:iCs/>
                <w:color w:val="000000"/>
                <w:sz w:val="18"/>
                <w:szCs w:val="18"/>
              </w:rPr>
            </w:pPr>
          </w:p>
        </w:tc>
      </w:tr>
      <w:tr>
        <w:tblPrEx>
          <w:tblBorders>
            <w:top w:val="single" w:color="auto" w:sz="18" w:space="0"/>
            <w:left w:val="none" w:color="auto" w:sz="0" w:space="0"/>
            <w:bottom w:val="single" w:color="auto" w:sz="18" w:space="0"/>
            <w:right w:val="none" w:color="auto" w:sz="0" w:space="0"/>
            <w:insideH w:val="none" w:color="auto" w:sz="0" w:space="0"/>
            <w:insideV w:val="none" w:color="auto" w:sz="0" w:space="0"/>
          </w:tblBorders>
          <w:tblLayout w:type="fixed"/>
          <w:tblCellMar>
            <w:left w:w="108" w:type="dxa"/>
            <w:right w:w="108" w:type="dxa"/>
          </w:tblCellMar>
        </w:tblPrEx>
        <w:trPr>
          <w:trHeight w:val="283" w:hRule="atLeast"/>
          <w:jc w:val="center"/>
        </w:trPr>
        <w:tc>
          <w:tcPr>
            <w:tcW w:w="1839" w:type="dxa"/>
            <w:tcBorders>
              <w:bottom w:val="single" w:color="auto" w:sz="18" w:space="0"/>
            </w:tcBorders>
            <w:shd w:val="clear" w:color="auto" w:fill="FFFFFF"/>
            <w:vAlign w:val="top"/>
          </w:tcPr>
          <w:p>
            <w:pPr>
              <w:spacing w:after="0" w:line="240" w:lineRule="auto"/>
              <w:jc w:val="both"/>
              <w:rPr>
                <w:rFonts w:ascii="Arial" w:hAnsi="Arial" w:cs="Arial"/>
                <w:bCs/>
                <w:iCs/>
                <w:color w:val="000000"/>
                <w:sz w:val="18"/>
                <w:szCs w:val="18"/>
              </w:rPr>
            </w:pPr>
          </w:p>
        </w:tc>
        <w:tc>
          <w:tcPr>
            <w:tcW w:w="5103" w:type="dxa"/>
            <w:tcBorders>
              <w:bottom w:val="single" w:color="auto" w:sz="18" w:space="0"/>
            </w:tcBorders>
            <w:shd w:val="clear" w:color="auto" w:fill="FFFFFF"/>
            <w:vAlign w:val="top"/>
          </w:tcPr>
          <w:p>
            <w:pPr>
              <w:spacing w:after="0" w:line="240" w:lineRule="auto"/>
              <w:jc w:val="both"/>
              <w:rPr>
                <w:rFonts w:ascii="Arial" w:hAnsi="Arial" w:cs="Arial"/>
                <w:iCs/>
                <w:color w:val="000000"/>
                <w:sz w:val="18"/>
                <w:szCs w:val="18"/>
              </w:rPr>
            </w:pPr>
            <w:r>
              <w:rPr>
                <w:rFonts w:ascii="Arial" w:hAnsi="Arial" w:cs="Arial"/>
                <w:color w:val="000000"/>
                <w:sz w:val="18"/>
                <w:szCs w:val="18"/>
              </w:rPr>
              <w:t>Puas atas Kecepatan dalam Membantu Nasabah.</w:t>
            </w:r>
          </w:p>
        </w:tc>
        <w:tc>
          <w:tcPr>
            <w:tcW w:w="1837" w:type="dxa"/>
            <w:vMerge w:val="continue"/>
            <w:tcBorders>
              <w:bottom w:val="single" w:color="auto" w:sz="18" w:space="0"/>
            </w:tcBorders>
            <w:shd w:val="clear" w:color="auto" w:fill="FFFFFF"/>
            <w:vAlign w:val="top"/>
          </w:tcPr>
          <w:p>
            <w:pPr>
              <w:spacing w:after="0" w:line="240" w:lineRule="auto"/>
              <w:jc w:val="both"/>
              <w:rPr>
                <w:rFonts w:ascii="Arial" w:hAnsi="Arial" w:cs="Arial"/>
                <w:bCs/>
                <w:iCs/>
                <w:color w:val="000000"/>
                <w:sz w:val="18"/>
                <w:szCs w:val="18"/>
              </w:rPr>
            </w:pPr>
          </w:p>
        </w:tc>
      </w:tr>
      <w:tr>
        <w:tblPrEx>
          <w:tblBorders>
            <w:top w:val="single" w:color="auto" w:sz="18" w:space="0"/>
            <w:left w:val="none" w:color="auto" w:sz="0" w:space="0"/>
            <w:bottom w:val="single" w:color="auto" w:sz="18" w:space="0"/>
            <w:right w:val="none" w:color="auto" w:sz="0" w:space="0"/>
            <w:insideH w:val="none" w:color="auto" w:sz="0" w:space="0"/>
            <w:insideV w:val="none" w:color="auto" w:sz="0" w:space="0"/>
          </w:tblBorders>
          <w:tblLayout w:type="fixed"/>
          <w:tblCellMar>
            <w:left w:w="108" w:type="dxa"/>
            <w:right w:w="108" w:type="dxa"/>
          </w:tblCellMar>
        </w:tblPrEx>
        <w:trPr>
          <w:trHeight w:val="213" w:hRule="atLeast"/>
          <w:jc w:val="center"/>
        </w:trPr>
        <w:tc>
          <w:tcPr>
            <w:tcW w:w="1839" w:type="dxa"/>
            <w:tcBorders>
              <w:top w:val="single" w:color="auto" w:sz="18" w:space="0"/>
              <w:bottom w:val="nil"/>
            </w:tcBorders>
            <w:shd w:val="clear" w:color="auto" w:fill="FFFFFF"/>
            <w:vAlign w:val="top"/>
          </w:tcPr>
          <w:p>
            <w:pPr>
              <w:spacing w:after="0" w:line="240" w:lineRule="auto"/>
              <w:jc w:val="both"/>
              <w:rPr>
                <w:rFonts w:ascii="Arial" w:hAnsi="Arial" w:cs="Arial"/>
                <w:b/>
                <w:bCs/>
                <w:i/>
                <w:color w:val="000000"/>
                <w:sz w:val="18"/>
                <w:szCs w:val="18"/>
              </w:rPr>
            </w:pPr>
            <w:r>
              <w:rPr>
                <w:rFonts w:ascii="Arial" w:hAnsi="Arial" w:cs="Arial"/>
                <w:i/>
                <w:color w:val="000000"/>
                <w:sz w:val="18"/>
                <w:szCs w:val="18"/>
              </w:rPr>
              <w:t>Customer Retention</w:t>
            </w:r>
          </w:p>
        </w:tc>
        <w:tc>
          <w:tcPr>
            <w:tcW w:w="5103" w:type="dxa"/>
            <w:tcBorders>
              <w:top w:val="single" w:color="auto" w:sz="18" w:space="0"/>
              <w:bottom w:val="nil"/>
            </w:tcBorders>
            <w:shd w:val="clear" w:color="auto" w:fill="FFFFFF"/>
            <w:vAlign w:val="top"/>
          </w:tcPr>
          <w:p>
            <w:pPr>
              <w:spacing w:after="0" w:line="240" w:lineRule="auto"/>
              <w:jc w:val="both"/>
              <w:rPr>
                <w:rFonts w:ascii="Arial" w:hAnsi="Arial" w:cs="Arial"/>
                <w:iCs/>
                <w:color w:val="000000"/>
                <w:sz w:val="18"/>
                <w:szCs w:val="18"/>
              </w:rPr>
            </w:pPr>
            <w:r>
              <w:rPr>
                <w:rFonts w:ascii="Arial" w:hAnsi="Arial" w:cs="Arial"/>
                <w:color w:val="000000"/>
                <w:sz w:val="18"/>
                <w:szCs w:val="18"/>
              </w:rPr>
              <w:t>Pilihan yang Baik untuk Berbisnis.</w:t>
            </w:r>
          </w:p>
        </w:tc>
        <w:tc>
          <w:tcPr>
            <w:tcW w:w="1837" w:type="dxa"/>
            <w:vMerge w:val="restart"/>
            <w:tcBorders>
              <w:top w:val="single" w:color="auto" w:sz="18" w:space="0"/>
              <w:bottom w:val="nil"/>
            </w:tcBorders>
            <w:shd w:val="clear" w:color="auto" w:fill="FFFFFF"/>
            <w:vAlign w:val="center"/>
          </w:tcPr>
          <w:p>
            <w:pPr>
              <w:spacing w:after="0" w:line="240" w:lineRule="auto"/>
              <w:jc w:val="center"/>
              <w:rPr>
                <w:rFonts w:ascii="Arial" w:hAnsi="Arial" w:cs="Arial"/>
                <w:bCs/>
                <w:iCs/>
                <w:color w:val="000000"/>
                <w:sz w:val="18"/>
                <w:szCs w:val="18"/>
              </w:rPr>
            </w:pPr>
            <w:r>
              <w:rPr>
                <w:rFonts w:ascii="Arial" w:hAnsi="Arial" w:cs="Arial"/>
                <w:bCs/>
                <w:iCs/>
                <w:color w:val="000000"/>
                <w:sz w:val="18"/>
                <w:szCs w:val="18"/>
              </w:rPr>
              <w:t>1 Pertanyaan</w:t>
            </w:r>
          </w:p>
        </w:tc>
      </w:tr>
      <w:tr>
        <w:tblPrEx>
          <w:tblBorders>
            <w:top w:val="single" w:color="auto" w:sz="18" w:space="0"/>
            <w:left w:val="none" w:color="auto" w:sz="0" w:space="0"/>
            <w:bottom w:val="single" w:color="auto" w:sz="18" w:space="0"/>
            <w:right w:val="none" w:color="auto" w:sz="0" w:space="0"/>
            <w:insideH w:val="none" w:color="auto" w:sz="0" w:space="0"/>
            <w:insideV w:val="none" w:color="auto" w:sz="0" w:space="0"/>
          </w:tblBorders>
          <w:tblLayout w:type="fixed"/>
          <w:tblCellMar>
            <w:left w:w="108" w:type="dxa"/>
            <w:right w:w="108" w:type="dxa"/>
          </w:tblCellMar>
        </w:tblPrEx>
        <w:trPr>
          <w:trHeight w:val="265" w:hRule="atLeast"/>
          <w:jc w:val="center"/>
        </w:trPr>
        <w:tc>
          <w:tcPr>
            <w:tcW w:w="1839" w:type="dxa"/>
            <w:tcBorders>
              <w:top w:val="nil"/>
            </w:tcBorders>
            <w:shd w:val="clear" w:color="auto" w:fill="FFFFFF"/>
            <w:vAlign w:val="top"/>
          </w:tcPr>
          <w:p>
            <w:pPr>
              <w:spacing w:after="0" w:line="240" w:lineRule="auto"/>
              <w:jc w:val="both"/>
              <w:rPr>
                <w:rFonts w:ascii="Arial" w:hAnsi="Arial" w:cs="Arial"/>
                <w:bCs/>
                <w:iCs/>
                <w:color w:val="000000"/>
                <w:sz w:val="18"/>
                <w:szCs w:val="18"/>
              </w:rPr>
            </w:pPr>
          </w:p>
        </w:tc>
        <w:tc>
          <w:tcPr>
            <w:tcW w:w="5103" w:type="dxa"/>
            <w:tcBorders>
              <w:top w:val="nil"/>
            </w:tcBorders>
            <w:shd w:val="clear" w:color="auto" w:fill="FFFFFF"/>
            <w:vAlign w:val="top"/>
          </w:tcPr>
          <w:p>
            <w:pPr>
              <w:spacing w:after="0" w:line="240" w:lineRule="auto"/>
              <w:jc w:val="both"/>
              <w:rPr>
                <w:rFonts w:ascii="Arial" w:hAnsi="Arial" w:cs="Arial"/>
                <w:iCs/>
                <w:color w:val="000000"/>
                <w:sz w:val="18"/>
                <w:szCs w:val="18"/>
              </w:rPr>
            </w:pPr>
            <w:r>
              <w:rPr>
                <w:rFonts w:ascii="Arial" w:hAnsi="Arial" w:cs="Arial"/>
                <w:iCs/>
                <w:color w:val="000000"/>
                <w:sz w:val="18"/>
                <w:szCs w:val="18"/>
              </w:rPr>
              <w:t>Tetap Menjalin Hubungan Baik dengan Bank.</w:t>
            </w:r>
          </w:p>
        </w:tc>
        <w:tc>
          <w:tcPr>
            <w:tcW w:w="1837" w:type="dxa"/>
            <w:vMerge w:val="continue"/>
            <w:tcBorders>
              <w:top w:val="nil"/>
            </w:tcBorders>
            <w:shd w:val="clear" w:color="auto" w:fill="FFFFFF"/>
            <w:vAlign w:val="top"/>
          </w:tcPr>
          <w:p>
            <w:pPr>
              <w:spacing w:after="0" w:line="240" w:lineRule="auto"/>
              <w:jc w:val="both"/>
              <w:rPr>
                <w:rFonts w:ascii="Arial" w:hAnsi="Arial" w:cs="Arial"/>
                <w:bCs/>
                <w:iCs/>
                <w:color w:val="000000"/>
                <w:sz w:val="18"/>
                <w:szCs w:val="18"/>
              </w:rPr>
            </w:pPr>
          </w:p>
        </w:tc>
      </w:tr>
      <w:tr>
        <w:tblPrEx>
          <w:tblBorders>
            <w:top w:val="single" w:color="auto" w:sz="18" w:space="0"/>
            <w:left w:val="none" w:color="auto" w:sz="0" w:space="0"/>
            <w:bottom w:val="single" w:color="auto" w:sz="18" w:space="0"/>
            <w:right w:val="none" w:color="auto" w:sz="0" w:space="0"/>
            <w:insideH w:val="none" w:color="auto" w:sz="0" w:space="0"/>
            <w:insideV w:val="none" w:color="auto" w:sz="0" w:space="0"/>
          </w:tblBorders>
          <w:tblLayout w:type="fixed"/>
          <w:tblCellMar>
            <w:left w:w="108" w:type="dxa"/>
            <w:right w:w="108" w:type="dxa"/>
          </w:tblCellMar>
        </w:tblPrEx>
        <w:trPr>
          <w:trHeight w:val="283" w:hRule="atLeast"/>
          <w:jc w:val="center"/>
        </w:trPr>
        <w:tc>
          <w:tcPr>
            <w:tcW w:w="1839" w:type="dxa"/>
            <w:shd w:val="clear" w:color="auto" w:fill="FFFFFF"/>
            <w:vAlign w:val="top"/>
          </w:tcPr>
          <w:p>
            <w:pPr>
              <w:spacing w:after="0" w:line="240" w:lineRule="auto"/>
              <w:jc w:val="both"/>
              <w:rPr>
                <w:rFonts w:ascii="Arial" w:hAnsi="Arial" w:cs="Arial"/>
                <w:bCs/>
                <w:iCs/>
                <w:color w:val="000000"/>
                <w:sz w:val="18"/>
                <w:szCs w:val="18"/>
              </w:rPr>
            </w:pPr>
          </w:p>
        </w:tc>
        <w:tc>
          <w:tcPr>
            <w:tcW w:w="5103" w:type="dxa"/>
            <w:shd w:val="clear" w:color="auto" w:fill="FFFFFF"/>
            <w:vAlign w:val="top"/>
          </w:tcPr>
          <w:p>
            <w:pPr>
              <w:spacing w:after="0" w:line="240" w:lineRule="auto"/>
              <w:jc w:val="both"/>
              <w:rPr>
                <w:rFonts w:ascii="Arial" w:hAnsi="Arial" w:cs="Arial"/>
                <w:iCs/>
                <w:color w:val="000000"/>
                <w:sz w:val="18"/>
                <w:szCs w:val="18"/>
              </w:rPr>
            </w:pPr>
            <w:r>
              <w:rPr>
                <w:rFonts w:ascii="Arial" w:hAnsi="Arial" w:cs="Arial"/>
                <w:color w:val="000000"/>
                <w:sz w:val="18"/>
                <w:szCs w:val="18"/>
              </w:rPr>
              <w:t>Intensif Menggunakan Produk Tabungan.</w:t>
            </w:r>
          </w:p>
        </w:tc>
        <w:tc>
          <w:tcPr>
            <w:tcW w:w="1837" w:type="dxa"/>
            <w:vMerge w:val="continue"/>
            <w:shd w:val="clear" w:color="auto" w:fill="FFFFFF"/>
            <w:vAlign w:val="top"/>
          </w:tcPr>
          <w:p>
            <w:pPr>
              <w:spacing w:after="0" w:line="240" w:lineRule="auto"/>
              <w:jc w:val="both"/>
              <w:rPr>
                <w:rFonts w:ascii="Arial" w:hAnsi="Arial" w:cs="Arial"/>
                <w:bCs/>
                <w:iCs/>
                <w:color w:val="000000"/>
                <w:sz w:val="18"/>
                <w:szCs w:val="18"/>
              </w:rPr>
            </w:pPr>
          </w:p>
        </w:tc>
      </w:tr>
      <w:tr>
        <w:tblPrEx>
          <w:tblBorders>
            <w:top w:val="single" w:color="auto" w:sz="18" w:space="0"/>
            <w:left w:val="none" w:color="auto" w:sz="0" w:space="0"/>
            <w:bottom w:val="single" w:color="auto" w:sz="18" w:space="0"/>
            <w:right w:val="none" w:color="auto" w:sz="0" w:space="0"/>
            <w:insideH w:val="none" w:color="auto" w:sz="0" w:space="0"/>
            <w:insideV w:val="none" w:color="auto" w:sz="0" w:space="0"/>
          </w:tblBorders>
          <w:tblLayout w:type="fixed"/>
          <w:tblCellMar>
            <w:left w:w="108" w:type="dxa"/>
            <w:right w:w="108" w:type="dxa"/>
          </w:tblCellMar>
        </w:tblPrEx>
        <w:trPr>
          <w:trHeight w:val="566" w:hRule="atLeast"/>
          <w:jc w:val="center"/>
        </w:trPr>
        <w:tc>
          <w:tcPr>
            <w:tcW w:w="1839" w:type="dxa"/>
            <w:shd w:val="clear" w:color="auto" w:fill="FFFFFF"/>
            <w:vAlign w:val="top"/>
          </w:tcPr>
          <w:p>
            <w:pPr>
              <w:spacing w:after="0" w:line="240" w:lineRule="auto"/>
              <w:jc w:val="both"/>
              <w:rPr>
                <w:rFonts w:ascii="Arial" w:hAnsi="Arial" w:cs="Arial"/>
                <w:bCs/>
                <w:iCs/>
                <w:color w:val="000000"/>
                <w:sz w:val="18"/>
                <w:szCs w:val="18"/>
              </w:rPr>
            </w:pPr>
          </w:p>
        </w:tc>
        <w:tc>
          <w:tcPr>
            <w:tcW w:w="5103" w:type="dxa"/>
            <w:shd w:val="clear" w:color="auto" w:fill="FFFFFF"/>
            <w:vAlign w:val="top"/>
          </w:tcPr>
          <w:p>
            <w:pPr>
              <w:spacing w:after="0" w:line="240" w:lineRule="auto"/>
              <w:jc w:val="both"/>
              <w:rPr>
                <w:rFonts w:ascii="Arial" w:hAnsi="Arial" w:cs="Arial"/>
                <w:iCs/>
                <w:color w:val="000000"/>
                <w:sz w:val="18"/>
                <w:szCs w:val="18"/>
              </w:rPr>
            </w:pPr>
            <w:r>
              <w:rPr>
                <w:rFonts w:ascii="Arial" w:hAnsi="Arial" w:cs="Arial"/>
                <w:color w:val="000000"/>
                <w:sz w:val="18"/>
                <w:szCs w:val="18"/>
              </w:rPr>
              <w:t>Mengutamakan Menggunakan Jasa Bank dalam Bertransaksi.</w:t>
            </w:r>
          </w:p>
        </w:tc>
        <w:tc>
          <w:tcPr>
            <w:tcW w:w="1837" w:type="dxa"/>
            <w:vMerge w:val="continue"/>
            <w:shd w:val="clear" w:color="auto" w:fill="FFFFFF"/>
            <w:vAlign w:val="top"/>
          </w:tcPr>
          <w:p>
            <w:pPr>
              <w:spacing w:after="0" w:line="240" w:lineRule="auto"/>
              <w:jc w:val="both"/>
              <w:rPr>
                <w:rFonts w:ascii="Arial" w:hAnsi="Arial" w:cs="Arial"/>
                <w:bCs/>
                <w:iCs/>
                <w:color w:val="000000"/>
                <w:sz w:val="18"/>
                <w:szCs w:val="18"/>
              </w:rPr>
            </w:pPr>
          </w:p>
        </w:tc>
      </w:tr>
    </w:tbl>
    <w:p>
      <w:pPr>
        <w:pStyle w:val="12"/>
        <w:spacing w:after="0" w:line="240" w:lineRule="auto"/>
        <w:ind w:left="0"/>
        <w:jc w:val="both"/>
        <w:rPr>
          <w:rFonts w:ascii="Arial" w:hAnsi="Arial" w:cs="Arial"/>
          <w:color w:val="000000"/>
        </w:rPr>
      </w:pPr>
    </w:p>
    <w:p>
      <w:pPr>
        <w:pStyle w:val="12"/>
        <w:spacing w:after="0" w:line="240" w:lineRule="auto"/>
        <w:ind w:left="0"/>
        <w:jc w:val="both"/>
        <w:rPr>
          <w:rFonts w:ascii="Arial" w:hAnsi="Arial" w:cs="Arial"/>
          <w:color w:val="000000"/>
        </w:rPr>
        <w:sectPr>
          <w:type w:val="continuous"/>
          <w:pgSz w:w="11906" w:h="16838"/>
          <w:pgMar w:top="1701" w:right="1701" w:bottom="1701" w:left="1701" w:header="709" w:footer="705" w:gutter="0"/>
          <w:cols w:space="522" w:num="1"/>
          <w:docGrid w:linePitch="360" w:charSpace="0"/>
        </w:sectPr>
      </w:pPr>
    </w:p>
    <w:p>
      <w:pPr>
        <w:shd w:val="clear" w:color="auto" w:fill="FFFFFF"/>
        <w:spacing w:after="0" w:line="240" w:lineRule="auto"/>
        <w:jc w:val="both"/>
        <w:rPr>
          <w:rFonts w:ascii="Arial" w:hAnsi="Arial" w:cs="Arial"/>
          <w:b/>
          <w:color w:val="000000"/>
        </w:rPr>
      </w:pPr>
      <w:r>
        <w:rPr>
          <w:rFonts w:ascii="Arial" w:hAnsi="Arial" w:cs="Arial"/>
          <w:b/>
          <w:color w:val="000000"/>
        </w:rPr>
        <w:t>Metode Analisis Data</w:t>
      </w:r>
    </w:p>
    <w:p>
      <w:pPr>
        <w:shd w:val="clear" w:color="auto" w:fill="FFFFFF"/>
        <w:spacing w:after="0" w:line="240" w:lineRule="auto"/>
        <w:jc w:val="both"/>
        <w:rPr>
          <w:rFonts w:ascii="Arial" w:hAnsi="Arial" w:cs="Arial"/>
          <w:b/>
          <w:color w:val="000000"/>
        </w:rPr>
      </w:pPr>
      <w:r>
        <w:rPr>
          <w:rFonts w:ascii="Arial" w:hAnsi="Arial" w:cs="Arial"/>
          <w:b/>
          <w:color w:val="000000"/>
        </w:rPr>
        <w:t>Analisis Instrumen Penelitian</w:t>
      </w:r>
    </w:p>
    <w:p>
      <w:pPr>
        <w:spacing w:after="0" w:line="240" w:lineRule="auto"/>
        <w:ind w:firstLine="426"/>
        <w:jc w:val="both"/>
        <w:rPr>
          <w:rFonts w:ascii="Arial" w:hAnsi="Arial" w:cs="Arial"/>
          <w:color w:val="000000"/>
        </w:rPr>
      </w:pPr>
      <w:r>
        <w:rPr>
          <w:rFonts w:ascii="Arial" w:hAnsi="Arial" w:cs="Arial"/>
          <w:color w:val="000000"/>
        </w:rPr>
        <w:t>Langkah awal yang akan dilakukan sebelum memulai analisis data adalah melakukan analisis instrument penelitian atau alat penelitian.  Adapun langkah-langkah yang akan ditempuh dalam melakukan analisis adalah dengan melakukan uji validitas dan reliabilitas.</w:t>
      </w:r>
    </w:p>
    <w:p>
      <w:pPr>
        <w:spacing w:before="240" w:after="0" w:line="240" w:lineRule="auto"/>
        <w:jc w:val="both"/>
        <w:rPr>
          <w:rFonts w:ascii="Arial" w:hAnsi="Arial" w:cs="Arial"/>
          <w:b/>
          <w:color w:val="000000"/>
        </w:rPr>
      </w:pPr>
      <w:r>
        <w:rPr>
          <w:rFonts w:ascii="Arial" w:hAnsi="Arial" w:cs="Arial"/>
          <w:b/>
          <w:color w:val="000000"/>
        </w:rPr>
        <w:t>Analisis Model Penelitian</w:t>
      </w:r>
    </w:p>
    <w:p>
      <w:pPr>
        <w:spacing w:after="0" w:line="240" w:lineRule="auto"/>
        <w:ind w:firstLine="426"/>
        <w:jc w:val="both"/>
        <w:rPr>
          <w:rFonts w:ascii="Arial" w:hAnsi="Arial" w:cs="Arial"/>
          <w:b/>
          <w:color w:val="000000"/>
        </w:rPr>
      </w:pPr>
      <w:r>
        <w:rPr>
          <w:rFonts w:ascii="Arial" w:hAnsi="Arial" w:cs="Arial"/>
          <w:color w:val="000000"/>
          <w:spacing w:val="-1"/>
        </w:rPr>
        <w:t xml:space="preserve">Dalam penelitian ini, analisis dan interpretasi data ditujukan untuk menjawab pertanyaan-pertanyaan penelitian dalam rangka mengungkap fenomena sosial tertentu. Model analisis dalam penelitian ini adalah </w:t>
      </w:r>
      <w:r>
        <w:rPr>
          <w:rFonts w:ascii="Arial" w:hAnsi="Arial" w:cs="Arial"/>
          <w:i/>
          <w:color w:val="000000"/>
          <w:spacing w:val="-1"/>
        </w:rPr>
        <w:t>Structural Equation Model</w:t>
      </w:r>
      <w:r>
        <w:rPr>
          <w:rFonts w:ascii="Arial" w:hAnsi="Arial" w:cs="Arial"/>
          <w:color w:val="000000"/>
          <w:spacing w:val="-1"/>
        </w:rPr>
        <w:t xml:space="preserve"> (SEM), yang dioperasikan melalui program AMOS 22.0 dalam model dan pengkajian hipotesis.</w:t>
      </w:r>
    </w:p>
    <w:p>
      <w:pPr>
        <w:spacing w:after="0" w:line="240" w:lineRule="auto"/>
        <w:ind w:firstLine="426"/>
        <w:jc w:val="both"/>
        <w:rPr>
          <w:rFonts w:ascii="Arial" w:hAnsi="Arial" w:cs="Arial"/>
          <w:color w:val="000000"/>
          <w:spacing w:val="-1"/>
        </w:rPr>
      </w:pPr>
      <w:r>
        <w:rPr>
          <w:rFonts w:ascii="Arial" w:hAnsi="Arial" w:cs="Arial"/>
          <w:color w:val="000000"/>
          <w:spacing w:val="-1"/>
        </w:rPr>
        <w:t xml:space="preserve">Menurut Hair, </w:t>
      </w:r>
      <w:r>
        <w:rPr>
          <w:rFonts w:ascii="Arial" w:hAnsi="Arial" w:cs="Arial"/>
          <w:i/>
          <w:color w:val="000000"/>
          <w:spacing w:val="-1"/>
        </w:rPr>
        <w:t>et al</w:t>
      </w:r>
      <w:r>
        <w:rPr>
          <w:rFonts w:ascii="Arial" w:hAnsi="Arial" w:cs="Arial"/>
          <w:color w:val="000000"/>
          <w:spacing w:val="-1"/>
        </w:rPr>
        <w:t xml:space="preserve"> (1998) dalam Ghozali (2014: 61), ada 7 (tujuh) langkah dalam tahapan permodelan dan analisis struktur, yaitu sebagai berikut:</w:t>
      </w:r>
    </w:p>
    <w:p>
      <w:pPr>
        <w:pStyle w:val="12"/>
        <w:numPr>
          <w:ilvl w:val="0"/>
          <w:numId w:val="1"/>
        </w:numPr>
        <w:spacing w:after="0" w:line="240" w:lineRule="auto"/>
        <w:ind w:left="284" w:hanging="284"/>
        <w:jc w:val="both"/>
        <w:rPr>
          <w:rFonts w:ascii="Arial" w:hAnsi="Arial" w:cs="Arial"/>
          <w:color w:val="000000"/>
          <w:lang/>
        </w:rPr>
      </w:pPr>
      <w:r>
        <w:rPr>
          <w:rFonts w:ascii="Arial" w:hAnsi="Arial" w:cs="Arial"/>
          <w:color w:val="000000"/>
          <w:spacing w:val="-1"/>
        </w:rPr>
        <w:t>Pengembangan</w:t>
      </w:r>
      <w:r>
        <w:rPr>
          <w:rFonts w:ascii="Arial" w:hAnsi="Arial" w:cs="Arial"/>
          <w:color w:val="000000"/>
        </w:rPr>
        <w:t> </w:t>
      </w:r>
      <w:r>
        <w:rPr>
          <w:rFonts w:ascii="Arial" w:hAnsi="Arial" w:cs="Arial"/>
          <w:color w:val="000000"/>
          <w:spacing w:val="-1"/>
        </w:rPr>
        <w:t>model</w:t>
      </w:r>
      <w:r>
        <w:rPr>
          <w:rFonts w:ascii="Arial" w:hAnsi="Arial" w:cs="Arial"/>
          <w:color w:val="000000"/>
        </w:rPr>
        <w:t> berdasar teori.</w:t>
      </w:r>
    </w:p>
    <w:p>
      <w:pPr>
        <w:pStyle w:val="12"/>
        <w:numPr>
          <w:ilvl w:val="0"/>
          <w:numId w:val="1"/>
        </w:numPr>
        <w:spacing w:after="0" w:line="240" w:lineRule="auto"/>
        <w:ind w:left="284" w:hanging="284"/>
        <w:jc w:val="both"/>
        <w:rPr>
          <w:rFonts w:ascii="Arial" w:hAnsi="Arial" w:cs="Arial"/>
          <w:color w:val="000000"/>
          <w:lang/>
        </w:rPr>
      </w:pPr>
      <w:r>
        <w:rPr>
          <w:rFonts w:ascii="Arial" w:hAnsi="Arial" w:cs="Arial"/>
          <w:color w:val="000000"/>
          <w:spacing w:val="-1"/>
        </w:rPr>
        <w:t>Menyusun</w:t>
      </w:r>
      <w:r>
        <w:rPr>
          <w:rFonts w:ascii="Arial" w:hAnsi="Arial" w:cs="Arial"/>
          <w:color w:val="000000"/>
        </w:rPr>
        <w:t> </w:t>
      </w:r>
      <w:r>
        <w:rPr>
          <w:rFonts w:ascii="Arial" w:hAnsi="Arial" w:cs="Arial"/>
          <w:color w:val="000000"/>
          <w:spacing w:val="-1"/>
        </w:rPr>
        <w:t>diagram jalur</w:t>
      </w:r>
      <w:r>
        <w:rPr>
          <w:rFonts w:ascii="Arial" w:hAnsi="Arial" w:cs="Arial"/>
          <w:color w:val="000000"/>
        </w:rPr>
        <w:t>.</w:t>
      </w:r>
    </w:p>
    <w:p>
      <w:pPr>
        <w:pStyle w:val="12"/>
        <w:numPr>
          <w:ilvl w:val="0"/>
          <w:numId w:val="1"/>
        </w:numPr>
        <w:spacing w:after="0" w:line="240" w:lineRule="auto"/>
        <w:ind w:left="284" w:hanging="284"/>
        <w:jc w:val="both"/>
        <w:rPr>
          <w:rFonts w:ascii="Arial" w:hAnsi="Arial" w:cs="Arial"/>
          <w:color w:val="000000"/>
          <w:lang/>
        </w:rPr>
      </w:pPr>
      <w:r>
        <w:rPr>
          <w:rFonts w:ascii="Arial" w:hAnsi="Arial" w:cs="Arial"/>
          <w:color w:val="000000"/>
        </w:rPr>
        <w:t>Mengubah </w:t>
      </w:r>
      <w:r>
        <w:rPr>
          <w:rFonts w:ascii="Arial" w:hAnsi="Arial" w:cs="Arial"/>
          <w:color w:val="000000"/>
          <w:spacing w:val="-1"/>
        </w:rPr>
        <w:t>diagram jalur</w:t>
      </w:r>
      <w:r>
        <w:rPr>
          <w:rFonts w:ascii="Arial" w:hAnsi="Arial" w:cs="Arial"/>
          <w:color w:val="000000"/>
        </w:rPr>
        <w:t> </w:t>
      </w:r>
      <w:r>
        <w:rPr>
          <w:rFonts w:ascii="Arial" w:hAnsi="Arial" w:cs="Arial"/>
          <w:color w:val="000000"/>
          <w:spacing w:val="-1"/>
        </w:rPr>
        <w:t>menjadi</w:t>
      </w:r>
      <w:r>
        <w:rPr>
          <w:rFonts w:ascii="Arial" w:hAnsi="Arial" w:cs="Arial"/>
          <w:color w:val="000000"/>
        </w:rPr>
        <w:t xml:space="preserve">  persamaan struktural.                      </w:t>
      </w:r>
    </w:p>
    <w:p>
      <w:pPr>
        <w:pStyle w:val="12"/>
        <w:numPr>
          <w:ilvl w:val="0"/>
          <w:numId w:val="1"/>
        </w:numPr>
        <w:spacing w:after="0" w:line="240" w:lineRule="auto"/>
        <w:ind w:left="284" w:hanging="284"/>
        <w:jc w:val="both"/>
        <w:rPr>
          <w:rFonts w:ascii="Arial" w:hAnsi="Arial" w:cs="Arial"/>
          <w:color w:val="000000"/>
          <w:lang/>
        </w:rPr>
      </w:pPr>
      <w:r>
        <w:rPr>
          <w:rFonts w:ascii="Arial" w:hAnsi="Arial" w:cs="Arial"/>
          <w:color w:val="000000"/>
        </w:rPr>
        <w:t>Memilih jenis input matriks dan estimasi model yang diusulkan.</w:t>
      </w:r>
    </w:p>
    <w:p>
      <w:pPr>
        <w:pStyle w:val="12"/>
        <w:numPr>
          <w:ilvl w:val="0"/>
          <w:numId w:val="1"/>
        </w:numPr>
        <w:spacing w:after="0" w:line="240" w:lineRule="auto"/>
        <w:ind w:left="284" w:hanging="284"/>
        <w:jc w:val="both"/>
        <w:rPr>
          <w:rFonts w:ascii="Arial" w:hAnsi="Arial" w:cs="Arial"/>
          <w:color w:val="000000"/>
          <w:lang/>
        </w:rPr>
      </w:pPr>
      <w:r>
        <w:rPr>
          <w:rFonts w:ascii="Arial" w:hAnsi="Arial" w:cs="Arial"/>
          <w:color w:val="000000"/>
        </w:rPr>
        <w:t>Menilai identifikasi </w:t>
      </w:r>
      <w:r>
        <w:rPr>
          <w:rFonts w:ascii="Arial" w:hAnsi="Arial" w:cs="Arial"/>
          <w:color w:val="000000"/>
          <w:spacing w:val="-1"/>
        </w:rPr>
        <w:t>model struktural.</w:t>
      </w:r>
    </w:p>
    <w:p>
      <w:pPr>
        <w:pStyle w:val="12"/>
        <w:numPr>
          <w:ilvl w:val="0"/>
          <w:numId w:val="1"/>
        </w:numPr>
        <w:spacing w:after="0" w:line="240" w:lineRule="auto"/>
        <w:ind w:left="284" w:hanging="284"/>
        <w:jc w:val="both"/>
        <w:rPr>
          <w:rFonts w:ascii="Arial" w:hAnsi="Arial" w:cs="Arial"/>
          <w:color w:val="000000"/>
          <w:lang/>
        </w:rPr>
      </w:pPr>
      <w:r>
        <w:rPr>
          <w:rFonts w:ascii="Arial" w:hAnsi="Arial" w:cs="Arial"/>
          <w:bCs/>
          <w:color w:val="000000"/>
        </w:rPr>
        <w:t xml:space="preserve">Menilai kriteria </w:t>
      </w:r>
      <w:r>
        <w:rPr>
          <w:rFonts w:ascii="Arial" w:hAnsi="Arial" w:cs="Arial"/>
          <w:bCs/>
          <w:i/>
          <w:color w:val="000000"/>
        </w:rPr>
        <w:t>goodness-of-fit</w:t>
      </w:r>
      <w:r>
        <w:rPr>
          <w:rFonts w:ascii="Arial" w:hAnsi="Arial" w:cs="Arial"/>
          <w:bCs/>
          <w:i/>
          <w:color w:val="000000"/>
          <w:lang/>
        </w:rPr>
        <w:t>.</w:t>
      </w:r>
    </w:p>
    <w:p>
      <w:pPr>
        <w:pStyle w:val="12"/>
        <w:numPr>
          <w:ilvl w:val="0"/>
          <w:numId w:val="1"/>
        </w:numPr>
        <w:spacing w:after="0" w:line="240" w:lineRule="auto"/>
        <w:ind w:left="284" w:hanging="284"/>
        <w:jc w:val="both"/>
        <w:rPr>
          <w:rFonts w:ascii="Arial" w:hAnsi="Arial" w:cs="Arial"/>
          <w:color w:val="000000"/>
          <w:lang/>
        </w:rPr>
      </w:pPr>
      <w:r>
        <w:rPr>
          <w:rFonts w:ascii="Arial" w:hAnsi="Arial" w:cs="Arial"/>
          <w:color w:val="000000"/>
        </w:rPr>
        <w:t>Interpretasi </w:t>
      </w:r>
      <w:r>
        <w:rPr>
          <w:rFonts w:ascii="Arial" w:hAnsi="Arial" w:cs="Arial"/>
          <w:color w:val="000000"/>
          <w:lang/>
        </w:rPr>
        <w:t>dan modifikasi</w:t>
      </w:r>
      <w:r>
        <w:rPr>
          <w:rFonts w:ascii="Arial" w:hAnsi="Arial" w:cs="Arial"/>
          <w:color w:val="000000"/>
        </w:rPr>
        <w:t> </w:t>
      </w:r>
      <w:r>
        <w:rPr>
          <w:rFonts w:ascii="Arial" w:hAnsi="Arial" w:cs="Arial"/>
          <w:color w:val="000000"/>
          <w:spacing w:val="-1"/>
        </w:rPr>
        <w:t>model.</w:t>
      </w:r>
    </w:p>
    <w:p>
      <w:pPr>
        <w:shd w:val="clear" w:color="auto" w:fill="FFFFFF"/>
        <w:spacing w:before="240" w:after="0" w:line="240" w:lineRule="auto"/>
        <w:jc w:val="both"/>
        <w:rPr>
          <w:rFonts w:ascii="Arial" w:hAnsi="Arial" w:cs="Arial"/>
          <w:b/>
          <w:color w:val="000000"/>
        </w:rPr>
      </w:pPr>
      <w:r>
        <w:rPr>
          <w:rFonts w:ascii="Arial" w:hAnsi="Arial" w:cs="Arial"/>
          <w:b/>
          <w:color w:val="000000"/>
        </w:rPr>
        <w:t>HASIL DAN PEMBAHASAN</w:t>
      </w:r>
    </w:p>
    <w:p>
      <w:pPr>
        <w:shd w:val="clear" w:color="auto" w:fill="FFFFFF"/>
        <w:spacing w:after="0" w:line="240" w:lineRule="auto"/>
        <w:jc w:val="both"/>
        <w:rPr>
          <w:rFonts w:ascii="Arial" w:hAnsi="Arial" w:cs="Arial"/>
          <w:b/>
          <w:color w:val="000000"/>
        </w:rPr>
      </w:pPr>
      <w:r>
        <w:rPr>
          <w:rFonts w:ascii="Arial" w:hAnsi="Arial" w:cs="Arial"/>
          <w:b/>
          <w:color w:val="000000"/>
        </w:rPr>
        <w:t>Karakteristik Responden</w:t>
      </w:r>
    </w:p>
    <w:p>
      <w:pPr>
        <w:shd w:val="clear" w:color="auto" w:fill="FFFFFF"/>
        <w:spacing w:after="0" w:line="240" w:lineRule="auto"/>
        <w:ind w:firstLine="426"/>
        <w:jc w:val="both"/>
        <w:rPr>
          <w:rFonts w:ascii="Arial" w:hAnsi="Arial" w:cs="Arial"/>
          <w:b/>
          <w:color w:val="000000"/>
        </w:rPr>
      </w:pPr>
      <w:r>
        <w:rPr>
          <w:rFonts w:ascii="Arial" w:hAnsi="Arial" w:cs="Arial"/>
          <w:color w:val="000000"/>
          <w:lang/>
        </w:rPr>
        <w:t xml:space="preserve">Pengumpulan kuesioner dilakukan langsung terhadap 172 responden dan keseluruhan kuesioner kembali dalam keadaan terisi. Karakteristik responden dalam penelitian ini tercermin bahwa  mayoritas jenis kelamin responden adalah berjenis kelamin pria, yaitu sebanyak 95 responden (55,2 %), dengan usia yang terbanyak adalah rentang usia 17-26 tahun, yaitu sebanyak 76 responden (44,2 %). </w:t>
      </w:r>
      <w:r>
        <w:rPr>
          <w:rFonts w:ascii="Arial" w:hAnsi="Arial" w:cs="Arial"/>
          <w:color w:val="000000"/>
        </w:rPr>
        <w:t xml:space="preserve">Mayoritas sampel dalam penelitian ini adalah responden dengan tingkat pendidikan SMA, yaitu berjumlah 92 </w:t>
      </w:r>
      <w:r>
        <w:rPr>
          <w:rFonts w:ascii="Arial" w:hAnsi="Arial" w:cs="Arial"/>
          <w:color w:val="000000"/>
          <w:lang/>
        </w:rPr>
        <w:t>responden</w:t>
      </w:r>
      <w:r>
        <w:rPr>
          <w:rFonts w:ascii="Arial" w:hAnsi="Arial" w:cs="Arial"/>
          <w:color w:val="000000"/>
        </w:rPr>
        <w:t xml:space="preserve"> (53,5 %), dengan jenis pekerjaan terbanyak adalah PNS/karyawan, yaitu sebanyak 75 </w:t>
      </w:r>
      <w:r>
        <w:rPr>
          <w:rFonts w:ascii="Arial" w:hAnsi="Arial" w:cs="Arial"/>
          <w:color w:val="000000"/>
          <w:lang/>
        </w:rPr>
        <w:t>responden</w:t>
      </w:r>
      <w:r>
        <w:rPr>
          <w:rFonts w:ascii="Arial" w:hAnsi="Arial" w:cs="Arial"/>
          <w:color w:val="000000"/>
        </w:rPr>
        <w:t xml:space="preserve"> (43,6 %). Lama menjadi nasabah masih terbatas mayoritas 1-2 tahun, yaitu sebanyak 94 </w:t>
      </w:r>
      <w:r>
        <w:rPr>
          <w:rFonts w:ascii="Arial" w:hAnsi="Arial" w:cs="Arial"/>
          <w:color w:val="000000"/>
          <w:lang/>
        </w:rPr>
        <w:t>responden</w:t>
      </w:r>
      <w:r>
        <w:rPr>
          <w:rFonts w:ascii="Arial" w:hAnsi="Arial" w:cs="Arial"/>
          <w:color w:val="000000"/>
        </w:rPr>
        <w:t xml:space="preserve"> (54,7 %). Kepemilikan jenis rekening tabungan mayoritas memiliki Tabungan Faedah BRISyariah iB, yaitu sebanyak 93 </w:t>
      </w:r>
      <w:r>
        <w:rPr>
          <w:rFonts w:ascii="Arial" w:hAnsi="Arial" w:cs="Arial"/>
          <w:color w:val="000000"/>
          <w:lang/>
        </w:rPr>
        <w:t>responden</w:t>
      </w:r>
      <w:r>
        <w:rPr>
          <w:rFonts w:ascii="Arial" w:hAnsi="Arial" w:cs="Arial"/>
          <w:color w:val="000000"/>
        </w:rPr>
        <w:t xml:space="preserve"> (54,1 %), dengan frekuensi transaksi terbanyak adalah 1 kali sebulan, yaitu sebanyak 71</w:t>
      </w:r>
      <w:r>
        <w:rPr>
          <w:rFonts w:ascii="Arial" w:hAnsi="Arial" w:cs="Arial"/>
          <w:color w:val="000000"/>
          <w:lang/>
        </w:rPr>
        <w:t xml:space="preserve"> responden</w:t>
      </w:r>
      <w:r>
        <w:rPr>
          <w:rFonts w:ascii="Arial" w:hAnsi="Arial" w:cs="Arial"/>
          <w:color w:val="000000"/>
        </w:rPr>
        <w:t xml:space="preserve"> (41,3 %). Jumlah rekening yang dimiliki nasabah pada bank lain terbanyak adalah 1 rekening, yaitu 67 </w:t>
      </w:r>
      <w:r>
        <w:rPr>
          <w:rFonts w:ascii="Arial" w:hAnsi="Arial" w:cs="Arial"/>
          <w:color w:val="000000"/>
          <w:lang/>
        </w:rPr>
        <w:t>responden</w:t>
      </w:r>
      <w:r>
        <w:rPr>
          <w:rFonts w:ascii="Arial" w:hAnsi="Arial" w:cs="Arial"/>
          <w:color w:val="000000"/>
        </w:rPr>
        <w:t xml:space="preserve"> (39,0 %).</w:t>
      </w:r>
    </w:p>
    <w:p>
      <w:pPr>
        <w:shd w:val="clear" w:color="auto" w:fill="FFFFFF"/>
        <w:spacing w:before="240" w:after="0" w:line="240" w:lineRule="auto"/>
        <w:jc w:val="both"/>
        <w:rPr>
          <w:rFonts w:ascii="Arial" w:hAnsi="Arial" w:cs="Arial"/>
          <w:b/>
          <w:color w:val="000000"/>
        </w:rPr>
      </w:pPr>
      <w:r>
        <w:rPr>
          <w:rFonts w:ascii="Arial" w:hAnsi="Arial" w:cs="Arial"/>
          <w:b/>
          <w:color w:val="000000"/>
        </w:rPr>
        <w:t>Uji Validitas</w:t>
      </w:r>
    </w:p>
    <w:p>
      <w:pPr>
        <w:shd w:val="clear" w:color="auto" w:fill="FFFFFF"/>
        <w:spacing w:after="0" w:line="240" w:lineRule="auto"/>
        <w:ind w:firstLine="426"/>
        <w:jc w:val="both"/>
        <w:rPr>
          <w:rFonts w:ascii="Arial" w:hAnsi="Arial" w:cs="Arial"/>
          <w:color w:val="000000"/>
        </w:rPr>
      </w:pPr>
      <w:r>
        <w:rPr>
          <w:rFonts w:ascii="Arial" w:hAnsi="Arial" w:cs="Arial"/>
          <w:color w:val="000000"/>
        </w:rPr>
        <w:t xml:space="preserve">Uji validitas digunakan untuk mengukur sah atau valid tidaknya suatu kuesioner. Suatu kuesioner dikatakan valid jika pertanyaan pada kuesioner mampu untuk mengungkapkan sesuatu yang akan diukur oleh kuesioner tersebut. Uji validitas dilakukan dengan melakukan korelasi </w:t>
      </w:r>
      <w:r>
        <w:rPr>
          <w:rFonts w:ascii="Arial" w:hAnsi="Arial" w:cs="Arial"/>
          <w:i/>
          <w:color w:val="000000"/>
        </w:rPr>
        <w:t xml:space="preserve">bivariate </w:t>
      </w:r>
      <w:r>
        <w:rPr>
          <w:rFonts w:ascii="Arial" w:hAnsi="Arial" w:cs="Arial"/>
          <w:color w:val="000000"/>
        </w:rPr>
        <w:t xml:space="preserve">antara masing-masing </w:t>
      </w:r>
      <w:r>
        <w:rPr>
          <w:rFonts w:ascii="Arial" w:hAnsi="Arial" w:cs="Arial"/>
          <w:i/>
          <w:color w:val="000000"/>
        </w:rPr>
        <w:t xml:space="preserve">skor </w:t>
      </w:r>
      <w:r>
        <w:rPr>
          <w:rFonts w:ascii="Arial" w:hAnsi="Arial" w:cs="Arial"/>
          <w:color w:val="000000"/>
        </w:rPr>
        <w:t xml:space="preserve">indikator dengan total </w:t>
      </w:r>
      <w:r>
        <w:rPr>
          <w:rFonts w:ascii="Arial" w:hAnsi="Arial" w:cs="Arial"/>
          <w:i/>
          <w:color w:val="000000"/>
        </w:rPr>
        <w:t xml:space="preserve">skor </w:t>
      </w:r>
      <w:r>
        <w:rPr>
          <w:rFonts w:ascii="Arial" w:hAnsi="Arial" w:cs="Arial"/>
          <w:color w:val="000000"/>
        </w:rPr>
        <w:t>konstruk (Ghozali, 2011: 52). Suatu indikator dikatakan valid apabila nilai signifikansinya kurang dari 0,05.</w:t>
      </w:r>
    </w:p>
    <w:p>
      <w:pPr>
        <w:shd w:val="clear" w:color="auto" w:fill="FFFFFF"/>
        <w:spacing w:after="0" w:line="240" w:lineRule="auto"/>
        <w:ind w:firstLine="426"/>
        <w:jc w:val="both"/>
        <w:rPr>
          <w:rFonts w:ascii="Arial" w:hAnsi="Arial" w:cs="Arial"/>
          <w:color w:val="000000"/>
        </w:rPr>
      </w:pPr>
      <w:r>
        <w:rPr>
          <w:rFonts w:ascii="Arial" w:hAnsi="Arial" w:cs="Arial"/>
          <w:color w:val="000000"/>
        </w:rPr>
        <w:t xml:space="preserve">Dalam penelitian ini, hasil pengujian validitas menunjukkan bahwa keseluruhan indikator variabel kualitas pelayanan, kualitas produk, kepercayaan, nilai nasabah, kepuasan nasabah, dan </w:t>
      </w:r>
      <w:r>
        <w:rPr>
          <w:rFonts w:ascii="Arial" w:hAnsi="Arial" w:cs="Arial"/>
          <w:i/>
          <w:color w:val="000000"/>
        </w:rPr>
        <w:t>customer retention</w:t>
      </w:r>
      <w:r>
        <w:rPr>
          <w:rFonts w:ascii="Arial" w:hAnsi="Arial" w:cs="Arial"/>
          <w:color w:val="000000"/>
        </w:rPr>
        <w:t xml:space="preserve"> dinyatakan valid. Hal ini dikarenakan keseluruhan indikator mempunyai nilai signifikansi 0,000, sehingga kurang dari 0,05. Hasil uji validitas dapat dilihat pada Tabel 2.</w:t>
      </w:r>
    </w:p>
    <w:p>
      <w:pPr>
        <w:shd w:val="clear" w:color="auto" w:fill="FFFFFF"/>
        <w:spacing w:after="0" w:line="240" w:lineRule="auto"/>
        <w:ind w:firstLine="567"/>
        <w:jc w:val="both"/>
        <w:rPr>
          <w:rFonts w:ascii="Arial" w:hAnsi="Arial" w:cs="Arial"/>
          <w:color w:val="000000"/>
        </w:rPr>
        <w:sectPr>
          <w:type w:val="continuous"/>
          <w:pgSz w:w="11906" w:h="16838"/>
          <w:pgMar w:top="1701" w:right="1701" w:bottom="1701" w:left="1701" w:header="709" w:footer="705" w:gutter="0"/>
          <w:cols w:space="397" w:num="2"/>
          <w:docGrid w:linePitch="360" w:charSpace="0"/>
        </w:sectPr>
      </w:pPr>
    </w:p>
    <w:p>
      <w:pPr>
        <w:pStyle w:val="12"/>
        <w:spacing w:after="0" w:line="240" w:lineRule="auto"/>
        <w:ind w:left="0"/>
        <w:jc w:val="center"/>
        <w:rPr>
          <w:rFonts w:ascii="Arial" w:hAnsi="Arial" w:cs="Arial"/>
          <w:b/>
          <w:color w:val="000000"/>
        </w:rPr>
      </w:pPr>
    </w:p>
    <w:p>
      <w:pPr>
        <w:pStyle w:val="12"/>
        <w:spacing w:after="0" w:line="240" w:lineRule="auto"/>
        <w:ind w:left="0"/>
        <w:jc w:val="center"/>
        <w:rPr>
          <w:rFonts w:ascii="Arial" w:hAnsi="Arial" w:cs="Arial"/>
          <w:b/>
          <w:color w:val="000000"/>
        </w:rPr>
      </w:pPr>
      <w:r>
        <w:rPr>
          <w:rFonts w:ascii="Arial" w:hAnsi="Arial" w:cs="Arial"/>
          <w:b/>
          <w:color w:val="000000"/>
        </w:rPr>
        <w:t>Tabel 2.: Hasil Uji Validitas</w:t>
      </w:r>
    </w:p>
    <w:tbl>
      <w:tblPr>
        <w:tblW w:w="8505" w:type="dxa"/>
        <w:tblInd w:w="108" w:type="dxa"/>
        <w:tblBorders>
          <w:top w:val="single" w:color="000000" w:sz="4" w:space="0"/>
          <w:left w:val="none" w:color="auto" w:sz="0" w:space="0"/>
          <w:bottom w:val="single" w:color="000000" w:sz="4" w:space="0"/>
          <w:right w:val="none" w:color="auto" w:sz="0" w:space="0"/>
          <w:insideH w:val="single" w:color="000000" w:sz="4" w:space="0"/>
          <w:insideV w:val="none" w:color="auto" w:sz="0" w:space="0"/>
        </w:tblBorders>
        <w:tblLayout w:type="fixed"/>
        <w:tblCellMar>
          <w:left w:w="108" w:type="dxa"/>
          <w:right w:w="108" w:type="dxa"/>
        </w:tblCellMar>
      </w:tblPr>
      <w:tblGrid>
        <w:gridCol w:w="2541"/>
        <w:gridCol w:w="1498"/>
        <w:gridCol w:w="2329"/>
        <w:gridCol w:w="2137"/>
      </w:tblGrid>
      <w:tr>
        <w:tblPrEx>
          <w:tblBorders>
            <w:top w:val="single" w:color="000000" w:sz="4" w:space="0"/>
            <w:left w:val="none" w:color="auto" w:sz="0" w:space="0"/>
            <w:bottom w:val="single" w:color="000000" w:sz="4" w:space="0"/>
            <w:right w:val="none" w:color="auto" w:sz="0" w:space="0"/>
            <w:insideH w:val="single" w:color="000000" w:sz="4" w:space="0"/>
            <w:insideV w:val="none" w:color="auto" w:sz="0" w:space="0"/>
          </w:tblBorders>
          <w:tblLayout w:type="fixed"/>
        </w:tblPrEx>
        <w:trPr>
          <w:trHeight w:val="335" w:hRule="atLeast"/>
        </w:trPr>
        <w:tc>
          <w:tcPr>
            <w:tcW w:w="2541" w:type="dxa"/>
            <w:tcBorders>
              <w:top w:val="single" w:color="000000" w:sz="18" w:space="0"/>
              <w:bottom w:val="single" w:color="000000" w:sz="18" w:space="0"/>
            </w:tcBorders>
            <w:shd w:val="clear" w:color="auto" w:fill="EEECE1"/>
            <w:vAlign w:val="top"/>
          </w:tcPr>
          <w:p>
            <w:pPr>
              <w:pStyle w:val="12"/>
              <w:spacing w:after="0" w:line="240" w:lineRule="auto"/>
              <w:ind w:left="0"/>
              <w:jc w:val="center"/>
              <w:rPr>
                <w:rFonts w:ascii="Arial" w:hAnsi="Arial" w:cs="Arial"/>
                <w:b/>
                <w:color w:val="000000"/>
              </w:rPr>
            </w:pPr>
            <w:r>
              <w:rPr>
                <w:rFonts w:ascii="Arial" w:hAnsi="Arial" w:cs="Arial"/>
                <w:b/>
                <w:color w:val="000000"/>
              </w:rPr>
              <w:t>Variabel</w:t>
            </w:r>
          </w:p>
        </w:tc>
        <w:tc>
          <w:tcPr>
            <w:tcW w:w="1498" w:type="dxa"/>
            <w:tcBorders>
              <w:top w:val="single" w:color="000000" w:sz="18" w:space="0"/>
              <w:bottom w:val="single" w:color="000000" w:sz="18" w:space="0"/>
            </w:tcBorders>
            <w:shd w:val="clear" w:color="auto" w:fill="EEECE1"/>
            <w:vAlign w:val="top"/>
          </w:tcPr>
          <w:p>
            <w:pPr>
              <w:pStyle w:val="12"/>
              <w:spacing w:after="0" w:line="240" w:lineRule="auto"/>
              <w:ind w:left="0"/>
              <w:jc w:val="center"/>
              <w:rPr>
                <w:rFonts w:ascii="Arial" w:hAnsi="Arial" w:cs="Arial"/>
                <w:b/>
                <w:color w:val="000000"/>
              </w:rPr>
            </w:pPr>
            <w:r>
              <w:rPr>
                <w:rFonts w:ascii="Arial" w:hAnsi="Arial" w:cs="Arial"/>
                <w:b/>
                <w:color w:val="000000"/>
              </w:rPr>
              <w:t>Korelasi</w:t>
            </w:r>
          </w:p>
        </w:tc>
        <w:tc>
          <w:tcPr>
            <w:tcW w:w="2329" w:type="dxa"/>
            <w:tcBorders>
              <w:top w:val="single" w:color="000000" w:sz="18" w:space="0"/>
              <w:bottom w:val="single" w:color="000000" w:sz="18" w:space="0"/>
            </w:tcBorders>
            <w:shd w:val="clear" w:color="auto" w:fill="EEECE1"/>
            <w:vAlign w:val="top"/>
          </w:tcPr>
          <w:p>
            <w:pPr>
              <w:pStyle w:val="12"/>
              <w:spacing w:after="0" w:line="240" w:lineRule="auto"/>
              <w:ind w:left="0"/>
              <w:jc w:val="center"/>
              <w:rPr>
                <w:rFonts w:ascii="Arial" w:hAnsi="Arial" w:cs="Arial"/>
                <w:b/>
                <w:color w:val="000000"/>
              </w:rPr>
            </w:pPr>
            <w:r>
              <w:rPr>
                <w:rFonts w:ascii="Arial" w:hAnsi="Arial" w:cs="Arial"/>
                <w:b/>
                <w:color w:val="000000"/>
              </w:rPr>
              <w:t>Taraf Signifikansi</w:t>
            </w:r>
          </w:p>
        </w:tc>
        <w:tc>
          <w:tcPr>
            <w:tcW w:w="2137" w:type="dxa"/>
            <w:tcBorders>
              <w:top w:val="single" w:color="000000" w:sz="18" w:space="0"/>
              <w:bottom w:val="single" w:color="000000" w:sz="18" w:space="0"/>
            </w:tcBorders>
            <w:shd w:val="clear" w:color="auto" w:fill="EEECE1"/>
            <w:vAlign w:val="top"/>
          </w:tcPr>
          <w:p>
            <w:pPr>
              <w:pStyle w:val="12"/>
              <w:spacing w:after="0" w:line="240" w:lineRule="auto"/>
              <w:ind w:left="0"/>
              <w:jc w:val="center"/>
              <w:rPr>
                <w:rFonts w:ascii="Arial" w:hAnsi="Arial" w:cs="Arial"/>
                <w:b/>
                <w:color w:val="000000"/>
              </w:rPr>
            </w:pPr>
            <w:r>
              <w:rPr>
                <w:rFonts w:ascii="Arial" w:hAnsi="Arial" w:cs="Arial"/>
                <w:b/>
                <w:color w:val="000000"/>
              </w:rPr>
              <w:t>Kesimpulan</w:t>
            </w:r>
          </w:p>
        </w:tc>
      </w:tr>
      <w:tr>
        <w:tblPrEx>
          <w:tblBorders>
            <w:top w:val="single" w:color="000000" w:sz="4" w:space="0"/>
            <w:left w:val="none" w:color="auto" w:sz="0" w:space="0"/>
            <w:bottom w:val="single" w:color="000000" w:sz="4" w:space="0"/>
            <w:right w:val="none" w:color="auto" w:sz="0" w:space="0"/>
            <w:insideH w:val="single" w:color="000000" w:sz="4" w:space="0"/>
            <w:insideV w:val="none" w:color="auto" w:sz="0" w:space="0"/>
          </w:tblBorders>
          <w:tblLayout w:type="fixed"/>
        </w:tblPrEx>
        <w:trPr>
          <w:trHeight w:val="335" w:hRule="atLeast"/>
        </w:trPr>
        <w:tc>
          <w:tcPr>
            <w:tcW w:w="2541" w:type="dxa"/>
            <w:tcBorders>
              <w:top w:val="single" w:color="000000" w:sz="18" w:space="0"/>
              <w:bottom w:val="nil"/>
            </w:tcBorders>
            <w:vAlign w:val="top"/>
          </w:tcPr>
          <w:p>
            <w:pPr>
              <w:pStyle w:val="12"/>
              <w:spacing w:after="0" w:line="240" w:lineRule="auto"/>
              <w:ind w:left="0"/>
              <w:rPr>
                <w:rFonts w:ascii="Arial" w:hAnsi="Arial" w:cs="Arial"/>
                <w:color w:val="000000"/>
              </w:rPr>
            </w:pPr>
            <w:r>
              <w:rPr>
                <w:rFonts w:ascii="Arial" w:hAnsi="Arial" w:cs="Arial"/>
                <w:color w:val="000000"/>
              </w:rPr>
              <w:t>Kualitas Pelayanan</w:t>
            </w:r>
          </w:p>
          <w:p>
            <w:pPr>
              <w:pStyle w:val="12"/>
              <w:spacing w:after="0" w:line="240" w:lineRule="auto"/>
              <w:ind w:left="0"/>
              <w:rPr>
                <w:rFonts w:ascii="Arial" w:hAnsi="Arial" w:cs="Arial"/>
                <w:color w:val="000000"/>
              </w:rPr>
            </w:pPr>
            <w:r>
              <w:rPr>
                <w:rFonts w:ascii="Arial" w:hAnsi="Arial" w:cs="Arial"/>
                <w:color w:val="000000"/>
              </w:rPr>
              <w:t>(6 dimensi pertanyaan)</w:t>
            </w:r>
          </w:p>
        </w:tc>
        <w:tc>
          <w:tcPr>
            <w:tcW w:w="1498" w:type="dxa"/>
            <w:tcBorders>
              <w:top w:val="single" w:color="000000" w:sz="18" w:space="0"/>
              <w:bottom w:val="nil"/>
            </w:tcBorders>
            <w:vAlign w:val="top"/>
          </w:tcPr>
          <w:p>
            <w:pPr>
              <w:pStyle w:val="12"/>
              <w:spacing w:after="0" w:line="240" w:lineRule="auto"/>
              <w:ind w:left="0"/>
              <w:jc w:val="center"/>
              <w:rPr>
                <w:rFonts w:ascii="Arial" w:hAnsi="Arial" w:cs="Arial"/>
                <w:color w:val="000000"/>
              </w:rPr>
            </w:pPr>
            <w:r>
              <w:rPr>
                <w:rFonts w:ascii="Arial" w:hAnsi="Arial" w:cs="Arial"/>
                <w:color w:val="000000"/>
              </w:rPr>
              <w:t>0,000</w:t>
            </w:r>
          </w:p>
        </w:tc>
        <w:tc>
          <w:tcPr>
            <w:tcW w:w="2329" w:type="dxa"/>
            <w:tcBorders>
              <w:top w:val="single" w:color="000000" w:sz="18" w:space="0"/>
              <w:bottom w:val="nil"/>
            </w:tcBorders>
            <w:vAlign w:val="top"/>
          </w:tcPr>
          <w:p>
            <w:pPr>
              <w:pStyle w:val="12"/>
              <w:spacing w:after="0" w:line="240" w:lineRule="auto"/>
              <w:ind w:left="0"/>
              <w:jc w:val="center"/>
              <w:rPr>
                <w:rFonts w:ascii="Arial" w:hAnsi="Arial" w:cs="Arial"/>
                <w:color w:val="000000"/>
              </w:rPr>
            </w:pPr>
            <w:r>
              <w:rPr>
                <w:rFonts w:ascii="Arial" w:hAnsi="Arial" w:cs="Arial"/>
                <w:color w:val="000000"/>
              </w:rPr>
              <w:t>0,05</w:t>
            </w:r>
          </w:p>
        </w:tc>
        <w:tc>
          <w:tcPr>
            <w:tcW w:w="2137" w:type="dxa"/>
            <w:tcBorders>
              <w:top w:val="single" w:color="000000" w:sz="18" w:space="0"/>
              <w:bottom w:val="nil"/>
            </w:tcBorders>
            <w:vAlign w:val="top"/>
          </w:tcPr>
          <w:p>
            <w:pPr>
              <w:pStyle w:val="12"/>
              <w:spacing w:after="0" w:line="240" w:lineRule="auto"/>
              <w:ind w:left="0"/>
              <w:jc w:val="center"/>
              <w:rPr>
                <w:rFonts w:ascii="Arial" w:hAnsi="Arial" w:cs="Arial"/>
                <w:color w:val="000000"/>
              </w:rPr>
            </w:pPr>
            <w:r>
              <w:rPr>
                <w:rFonts w:ascii="Arial" w:hAnsi="Arial" w:cs="Arial"/>
                <w:color w:val="000000"/>
              </w:rPr>
              <w:t>Reliabel</w:t>
            </w:r>
          </w:p>
        </w:tc>
      </w:tr>
      <w:tr>
        <w:tblPrEx>
          <w:tblBorders>
            <w:top w:val="single" w:color="000000" w:sz="4" w:space="0"/>
            <w:left w:val="none" w:color="auto" w:sz="0" w:space="0"/>
            <w:bottom w:val="single" w:color="000000" w:sz="4" w:space="0"/>
            <w:right w:val="none" w:color="auto" w:sz="0" w:space="0"/>
            <w:insideH w:val="single" w:color="000000" w:sz="4" w:space="0"/>
            <w:insideV w:val="none" w:color="auto" w:sz="0" w:space="0"/>
          </w:tblBorders>
          <w:tblLayout w:type="fixed"/>
          <w:tblCellMar>
            <w:left w:w="108" w:type="dxa"/>
            <w:right w:w="108" w:type="dxa"/>
          </w:tblCellMar>
        </w:tblPrEx>
        <w:trPr>
          <w:trHeight w:val="359" w:hRule="atLeast"/>
        </w:trPr>
        <w:tc>
          <w:tcPr>
            <w:tcW w:w="2541" w:type="dxa"/>
            <w:tcBorders>
              <w:top w:val="nil"/>
              <w:bottom w:val="nil"/>
            </w:tcBorders>
            <w:vAlign w:val="top"/>
          </w:tcPr>
          <w:p>
            <w:pPr>
              <w:pStyle w:val="12"/>
              <w:spacing w:after="0" w:line="240" w:lineRule="auto"/>
              <w:ind w:left="0"/>
              <w:rPr>
                <w:rFonts w:ascii="Arial" w:hAnsi="Arial" w:cs="Arial"/>
                <w:color w:val="000000"/>
              </w:rPr>
            </w:pPr>
            <w:r>
              <w:rPr>
                <w:rFonts w:ascii="Arial" w:hAnsi="Arial" w:cs="Arial"/>
                <w:color w:val="000000"/>
              </w:rPr>
              <w:t>Kualitas Produk</w:t>
            </w:r>
          </w:p>
          <w:p>
            <w:pPr>
              <w:pStyle w:val="12"/>
              <w:spacing w:after="0" w:line="240" w:lineRule="auto"/>
              <w:ind w:left="0"/>
              <w:rPr>
                <w:rFonts w:ascii="Arial" w:hAnsi="Arial" w:cs="Arial"/>
                <w:color w:val="000000"/>
              </w:rPr>
            </w:pPr>
            <w:r>
              <w:rPr>
                <w:rFonts w:ascii="Arial" w:hAnsi="Arial" w:cs="Arial"/>
                <w:color w:val="000000"/>
              </w:rPr>
              <w:t>(4 dimensi pertanyaan)</w:t>
            </w:r>
          </w:p>
        </w:tc>
        <w:tc>
          <w:tcPr>
            <w:tcW w:w="1498" w:type="dxa"/>
            <w:tcBorders>
              <w:top w:val="nil"/>
              <w:bottom w:val="nil"/>
            </w:tcBorders>
            <w:vAlign w:val="top"/>
          </w:tcPr>
          <w:p>
            <w:pPr>
              <w:pStyle w:val="12"/>
              <w:spacing w:after="0" w:line="240" w:lineRule="auto"/>
              <w:ind w:left="0"/>
              <w:jc w:val="center"/>
              <w:rPr>
                <w:rFonts w:ascii="Arial" w:hAnsi="Arial" w:cs="Arial"/>
                <w:color w:val="000000"/>
              </w:rPr>
            </w:pPr>
            <w:r>
              <w:rPr>
                <w:rFonts w:ascii="Arial" w:hAnsi="Arial" w:cs="Arial"/>
                <w:color w:val="000000"/>
              </w:rPr>
              <w:t>0,000</w:t>
            </w:r>
          </w:p>
        </w:tc>
        <w:tc>
          <w:tcPr>
            <w:tcW w:w="2329" w:type="dxa"/>
            <w:tcBorders>
              <w:top w:val="nil"/>
              <w:bottom w:val="nil"/>
            </w:tcBorders>
            <w:vAlign w:val="top"/>
          </w:tcPr>
          <w:p>
            <w:pPr>
              <w:pStyle w:val="12"/>
              <w:spacing w:after="0" w:line="240" w:lineRule="auto"/>
              <w:ind w:left="0"/>
              <w:jc w:val="center"/>
              <w:rPr>
                <w:rFonts w:ascii="Arial" w:hAnsi="Arial" w:cs="Arial"/>
                <w:color w:val="000000"/>
              </w:rPr>
            </w:pPr>
            <w:r>
              <w:rPr>
                <w:rFonts w:ascii="Arial" w:hAnsi="Arial" w:cs="Arial"/>
                <w:color w:val="000000"/>
              </w:rPr>
              <w:t>0,05</w:t>
            </w:r>
          </w:p>
        </w:tc>
        <w:tc>
          <w:tcPr>
            <w:tcW w:w="2137" w:type="dxa"/>
            <w:tcBorders>
              <w:top w:val="nil"/>
              <w:bottom w:val="nil"/>
            </w:tcBorders>
            <w:vAlign w:val="top"/>
          </w:tcPr>
          <w:p>
            <w:pPr>
              <w:pStyle w:val="12"/>
              <w:spacing w:after="0" w:line="240" w:lineRule="auto"/>
              <w:ind w:left="0"/>
              <w:jc w:val="center"/>
              <w:rPr>
                <w:rFonts w:ascii="Arial" w:hAnsi="Arial" w:cs="Arial"/>
                <w:color w:val="000000"/>
              </w:rPr>
            </w:pPr>
            <w:r>
              <w:rPr>
                <w:rFonts w:ascii="Arial" w:hAnsi="Arial" w:cs="Arial"/>
                <w:color w:val="000000"/>
              </w:rPr>
              <w:t>Reliabel</w:t>
            </w:r>
          </w:p>
        </w:tc>
      </w:tr>
      <w:tr>
        <w:tblPrEx>
          <w:tblBorders>
            <w:top w:val="single" w:color="000000" w:sz="4" w:space="0"/>
            <w:left w:val="none" w:color="auto" w:sz="0" w:space="0"/>
            <w:bottom w:val="single" w:color="000000" w:sz="4" w:space="0"/>
            <w:right w:val="none" w:color="auto" w:sz="0" w:space="0"/>
            <w:insideH w:val="single" w:color="000000" w:sz="4" w:space="0"/>
            <w:insideV w:val="none" w:color="auto" w:sz="0" w:space="0"/>
          </w:tblBorders>
          <w:tblLayout w:type="fixed"/>
        </w:tblPrEx>
        <w:trPr>
          <w:trHeight w:val="335" w:hRule="atLeast"/>
        </w:trPr>
        <w:tc>
          <w:tcPr>
            <w:tcW w:w="2541" w:type="dxa"/>
            <w:tcBorders>
              <w:top w:val="nil"/>
              <w:bottom w:val="nil"/>
            </w:tcBorders>
            <w:vAlign w:val="top"/>
          </w:tcPr>
          <w:p>
            <w:pPr>
              <w:pStyle w:val="12"/>
              <w:spacing w:after="0" w:line="240" w:lineRule="auto"/>
              <w:ind w:left="0"/>
              <w:rPr>
                <w:rFonts w:ascii="Arial" w:hAnsi="Arial" w:cs="Arial"/>
                <w:color w:val="000000"/>
              </w:rPr>
            </w:pPr>
            <w:r>
              <w:rPr>
                <w:rFonts w:ascii="Arial" w:hAnsi="Arial" w:cs="Arial"/>
                <w:color w:val="000000"/>
              </w:rPr>
              <w:t>Kepercayaan</w:t>
            </w:r>
          </w:p>
          <w:p>
            <w:pPr>
              <w:pStyle w:val="12"/>
              <w:spacing w:after="0" w:line="240" w:lineRule="auto"/>
              <w:ind w:left="0"/>
              <w:rPr>
                <w:rFonts w:ascii="Arial" w:hAnsi="Arial" w:cs="Arial"/>
                <w:color w:val="000000"/>
              </w:rPr>
            </w:pPr>
            <w:r>
              <w:rPr>
                <w:rFonts w:ascii="Arial" w:hAnsi="Arial" w:cs="Arial"/>
                <w:color w:val="000000"/>
              </w:rPr>
              <w:t>(5 dimensi pertanyaan)</w:t>
            </w:r>
          </w:p>
        </w:tc>
        <w:tc>
          <w:tcPr>
            <w:tcW w:w="1498" w:type="dxa"/>
            <w:tcBorders>
              <w:top w:val="nil"/>
              <w:bottom w:val="nil"/>
            </w:tcBorders>
            <w:vAlign w:val="top"/>
          </w:tcPr>
          <w:p>
            <w:pPr>
              <w:pStyle w:val="12"/>
              <w:spacing w:after="0" w:line="240" w:lineRule="auto"/>
              <w:ind w:left="0"/>
              <w:jc w:val="center"/>
              <w:rPr>
                <w:rFonts w:ascii="Arial" w:hAnsi="Arial" w:cs="Arial"/>
                <w:color w:val="000000"/>
              </w:rPr>
            </w:pPr>
            <w:r>
              <w:rPr>
                <w:rFonts w:ascii="Arial" w:hAnsi="Arial" w:cs="Arial"/>
                <w:color w:val="000000"/>
              </w:rPr>
              <w:t>0,000</w:t>
            </w:r>
          </w:p>
        </w:tc>
        <w:tc>
          <w:tcPr>
            <w:tcW w:w="2329" w:type="dxa"/>
            <w:tcBorders>
              <w:top w:val="nil"/>
              <w:bottom w:val="nil"/>
            </w:tcBorders>
            <w:vAlign w:val="top"/>
          </w:tcPr>
          <w:p>
            <w:pPr>
              <w:pStyle w:val="12"/>
              <w:spacing w:after="0" w:line="240" w:lineRule="auto"/>
              <w:ind w:left="0"/>
              <w:jc w:val="center"/>
              <w:rPr>
                <w:rFonts w:ascii="Arial" w:hAnsi="Arial" w:cs="Arial"/>
                <w:color w:val="000000"/>
              </w:rPr>
            </w:pPr>
            <w:r>
              <w:rPr>
                <w:rFonts w:ascii="Arial" w:hAnsi="Arial" w:cs="Arial"/>
                <w:color w:val="000000"/>
              </w:rPr>
              <w:t>0,05</w:t>
            </w:r>
          </w:p>
        </w:tc>
        <w:tc>
          <w:tcPr>
            <w:tcW w:w="2137" w:type="dxa"/>
            <w:tcBorders>
              <w:top w:val="nil"/>
              <w:bottom w:val="nil"/>
            </w:tcBorders>
            <w:vAlign w:val="top"/>
          </w:tcPr>
          <w:p>
            <w:pPr>
              <w:pStyle w:val="12"/>
              <w:spacing w:after="0" w:line="240" w:lineRule="auto"/>
              <w:ind w:left="0"/>
              <w:jc w:val="center"/>
              <w:rPr>
                <w:rFonts w:ascii="Arial" w:hAnsi="Arial" w:cs="Arial"/>
                <w:color w:val="000000"/>
              </w:rPr>
            </w:pPr>
            <w:r>
              <w:rPr>
                <w:rFonts w:ascii="Arial" w:hAnsi="Arial" w:cs="Arial"/>
                <w:color w:val="000000"/>
              </w:rPr>
              <w:t>Reliabel</w:t>
            </w:r>
          </w:p>
        </w:tc>
      </w:tr>
      <w:tr>
        <w:tblPrEx>
          <w:tblBorders>
            <w:top w:val="single" w:color="000000" w:sz="4" w:space="0"/>
            <w:left w:val="none" w:color="auto" w:sz="0" w:space="0"/>
            <w:bottom w:val="single" w:color="000000" w:sz="4" w:space="0"/>
            <w:right w:val="none" w:color="auto" w:sz="0" w:space="0"/>
            <w:insideH w:val="single" w:color="000000" w:sz="4" w:space="0"/>
            <w:insideV w:val="none" w:color="auto" w:sz="0" w:space="0"/>
          </w:tblBorders>
          <w:tblLayout w:type="fixed"/>
          <w:tblCellMar>
            <w:left w:w="108" w:type="dxa"/>
            <w:right w:w="108" w:type="dxa"/>
          </w:tblCellMar>
        </w:tblPrEx>
        <w:trPr>
          <w:trHeight w:val="359" w:hRule="atLeast"/>
        </w:trPr>
        <w:tc>
          <w:tcPr>
            <w:tcW w:w="2541" w:type="dxa"/>
            <w:tcBorders>
              <w:top w:val="nil"/>
              <w:bottom w:val="nil"/>
            </w:tcBorders>
            <w:vAlign w:val="top"/>
          </w:tcPr>
          <w:p>
            <w:pPr>
              <w:pStyle w:val="12"/>
              <w:spacing w:after="0" w:line="240" w:lineRule="auto"/>
              <w:ind w:left="0"/>
              <w:rPr>
                <w:rFonts w:ascii="Arial" w:hAnsi="Arial" w:cs="Arial"/>
                <w:color w:val="000000"/>
              </w:rPr>
            </w:pPr>
            <w:r>
              <w:rPr>
                <w:rFonts w:ascii="Arial" w:hAnsi="Arial" w:cs="Arial"/>
                <w:color w:val="000000"/>
              </w:rPr>
              <w:t>Nilai Nasabah</w:t>
            </w:r>
          </w:p>
          <w:p>
            <w:pPr>
              <w:pStyle w:val="12"/>
              <w:spacing w:after="0" w:line="240" w:lineRule="auto"/>
              <w:ind w:left="0"/>
              <w:rPr>
                <w:rFonts w:ascii="Arial" w:hAnsi="Arial" w:cs="Arial"/>
                <w:color w:val="000000"/>
              </w:rPr>
            </w:pPr>
            <w:r>
              <w:rPr>
                <w:rFonts w:ascii="Arial" w:hAnsi="Arial" w:cs="Arial"/>
                <w:color w:val="000000"/>
              </w:rPr>
              <w:t>(4 dimensi pertanyaan)</w:t>
            </w:r>
          </w:p>
        </w:tc>
        <w:tc>
          <w:tcPr>
            <w:tcW w:w="1498" w:type="dxa"/>
            <w:tcBorders>
              <w:top w:val="nil"/>
              <w:bottom w:val="nil"/>
            </w:tcBorders>
            <w:vAlign w:val="top"/>
          </w:tcPr>
          <w:p>
            <w:pPr>
              <w:pStyle w:val="12"/>
              <w:spacing w:after="0" w:line="240" w:lineRule="auto"/>
              <w:ind w:left="0"/>
              <w:jc w:val="center"/>
              <w:rPr>
                <w:rFonts w:ascii="Arial" w:hAnsi="Arial" w:cs="Arial"/>
                <w:color w:val="000000"/>
              </w:rPr>
            </w:pPr>
            <w:r>
              <w:rPr>
                <w:rFonts w:ascii="Arial" w:hAnsi="Arial" w:cs="Arial"/>
                <w:color w:val="000000"/>
              </w:rPr>
              <w:t>0,000</w:t>
            </w:r>
          </w:p>
        </w:tc>
        <w:tc>
          <w:tcPr>
            <w:tcW w:w="2329" w:type="dxa"/>
            <w:tcBorders>
              <w:top w:val="nil"/>
              <w:bottom w:val="nil"/>
            </w:tcBorders>
            <w:vAlign w:val="top"/>
          </w:tcPr>
          <w:p>
            <w:pPr>
              <w:pStyle w:val="12"/>
              <w:spacing w:after="0" w:line="240" w:lineRule="auto"/>
              <w:ind w:left="0"/>
              <w:jc w:val="center"/>
              <w:rPr>
                <w:rFonts w:ascii="Arial" w:hAnsi="Arial" w:cs="Arial"/>
                <w:color w:val="000000"/>
              </w:rPr>
            </w:pPr>
            <w:r>
              <w:rPr>
                <w:rFonts w:ascii="Arial" w:hAnsi="Arial" w:cs="Arial"/>
                <w:color w:val="000000"/>
              </w:rPr>
              <w:t>0,05</w:t>
            </w:r>
          </w:p>
        </w:tc>
        <w:tc>
          <w:tcPr>
            <w:tcW w:w="2137" w:type="dxa"/>
            <w:tcBorders>
              <w:top w:val="nil"/>
              <w:bottom w:val="nil"/>
            </w:tcBorders>
            <w:vAlign w:val="top"/>
          </w:tcPr>
          <w:p>
            <w:pPr>
              <w:pStyle w:val="12"/>
              <w:spacing w:after="0" w:line="240" w:lineRule="auto"/>
              <w:ind w:left="0"/>
              <w:jc w:val="center"/>
              <w:rPr>
                <w:rFonts w:ascii="Arial" w:hAnsi="Arial" w:cs="Arial"/>
                <w:color w:val="000000"/>
              </w:rPr>
            </w:pPr>
            <w:r>
              <w:rPr>
                <w:rFonts w:ascii="Arial" w:hAnsi="Arial" w:cs="Arial"/>
                <w:color w:val="000000"/>
              </w:rPr>
              <w:t>Reliabel</w:t>
            </w:r>
          </w:p>
        </w:tc>
      </w:tr>
      <w:tr>
        <w:tblPrEx>
          <w:tblBorders>
            <w:top w:val="single" w:color="000000" w:sz="4" w:space="0"/>
            <w:left w:val="none" w:color="auto" w:sz="0" w:space="0"/>
            <w:bottom w:val="single" w:color="000000" w:sz="4" w:space="0"/>
            <w:right w:val="none" w:color="auto" w:sz="0" w:space="0"/>
            <w:insideH w:val="single" w:color="000000" w:sz="4" w:space="0"/>
            <w:insideV w:val="none" w:color="auto" w:sz="0" w:space="0"/>
          </w:tblBorders>
          <w:tblLayout w:type="fixed"/>
          <w:tblCellMar>
            <w:left w:w="108" w:type="dxa"/>
            <w:right w:w="108" w:type="dxa"/>
          </w:tblCellMar>
        </w:tblPrEx>
        <w:trPr>
          <w:trHeight w:val="359" w:hRule="atLeast"/>
        </w:trPr>
        <w:tc>
          <w:tcPr>
            <w:tcW w:w="2541" w:type="dxa"/>
            <w:tcBorders>
              <w:top w:val="nil"/>
              <w:bottom w:val="nil"/>
            </w:tcBorders>
            <w:vAlign w:val="top"/>
          </w:tcPr>
          <w:p>
            <w:pPr>
              <w:pStyle w:val="12"/>
              <w:spacing w:after="0" w:line="240" w:lineRule="auto"/>
              <w:ind w:left="0"/>
              <w:rPr>
                <w:rFonts w:ascii="Arial" w:hAnsi="Arial" w:cs="Arial"/>
                <w:color w:val="000000"/>
              </w:rPr>
            </w:pPr>
            <w:r>
              <w:rPr>
                <w:rFonts w:ascii="Arial" w:hAnsi="Arial" w:cs="Arial"/>
                <w:color w:val="000000"/>
              </w:rPr>
              <w:t>Kepuasan Nasabah</w:t>
            </w:r>
          </w:p>
          <w:p>
            <w:pPr>
              <w:pStyle w:val="12"/>
              <w:spacing w:after="0" w:line="240" w:lineRule="auto"/>
              <w:ind w:left="0"/>
              <w:rPr>
                <w:rFonts w:ascii="Arial" w:hAnsi="Arial" w:cs="Arial"/>
                <w:color w:val="000000"/>
              </w:rPr>
            </w:pPr>
            <w:r>
              <w:rPr>
                <w:rFonts w:ascii="Arial" w:hAnsi="Arial" w:cs="Arial"/>
                <w:color w:val="000000"/>
              </w:rPr>
              <w:t>(6 dimensi pertanyaan)</w:t>
            </w:r>
          </w:p>
        </w:tc>
        <w:tc>
          <w:tcPr>
            <w:tcW w:w="1498" w:type="dxa"/>
            <w:tcBorders>
              <w:top w:val="nil"/>
              <w:bottom w:val="nil"/>
            </w:tcBorders>
            <w:vAlign w:val="top"/>
          </w:tcPr>
          <w:p>
            <w:pPr>
              <w:pStyle w:val="12"/>
              <w:spacing w:after="0" w:line="240" w:lineRule="auto"/>
              <w:ind w:left="0"/>
              <w:jc w:val="center"/>
              <w:rPr>
                <w:rFonts w:ascii="Arial" w:hAnsi="Arial" w:cs="Arial"/>
                <w:color w:val="000000"/>
              </w:rPr>
            </w:pPr>
            <w:r>
              <w:rPr>
                <w:rFonts w:ascii="Arial" w:hAnsi="Arial" w:cs="Arial"/>
                <w:color w:val="000000"/>
              </w:rPr>
              <w:t>0,000</w:t>
            </w:r>
          </w:p>
        </w:tc>
        <w:tc>
          <w:tcPr>
            <w:tcW w:w="2329" w:type="dxa"/>
            <w:tcBorders>
              <w:top w:val="nil"/>
              <w:bottom w:val="nil"/>
            </w:tcBorders>
            <w:vAlign w:val="top"/>
          </w:tcPr>
          <w:p>
            <w:pPr>
              <w:pStyle w:val="12"/>
              <w:spacing w:after="0" w:line="240" w:lineRule="auto"/>
              <w:ind w:left="0"/>
              <w:jc w:val="center"/>
              <w:rPr>
                <w:rFonts w:ascii="Arial" w:hAnsi="Arial" w:cs="Arial"/>
                <w:color w:val="000000"/>
              </w:rPr>
            </w:pPr>
            <w:r>
              <w:rPr>
                <w:rFonts w:ascii="Arial" w:hAnsi="Arial" w:cs="Arial"/>
                <w:color w:val="000000"/>
              </w:rPr>
              <w:t>0,05</w:t>
            </w:r>
          </w:p>
        </w:tc>
        <w:tc>
          <w:tcPr>
            <w:tcW w:w="2137" w:type="dxa"/>
            <w:tcBorders>
              <w:top w:val="nil"/>
              <w:bottom w:val="nil"/>
            </w:tcBorders>
            <w:vAlign w:val="top"/>
          </w:tcPr>
          <w:p>
            <w:pPr>
              <w:pStyle w:val="12"/>
              <w:spacing w:after="0" w:line="240" w:lineRule="auto"/>
              <w:ind w:left="0"/>
              <w:jc w:val="center"/>
              <w:rPr>
                <w:rFonts w:ascii="Arial" w:hAnsi="Arial" w:cs="Arial"/>
                <w:color w:val="000000"/>
              </w:rPr>
            </w:pPr>
            <w:r>
              <w:rPr>
                <w:rFonts w:ascii="Arial" w:hAnsi="Arial" w:cs="Arial"/>
                <w:color w:val="000000"/>
              </w:rPr>
              <w:t>Reliabel</w:t>
            </w:r>
          </w:p>
        </w:tc>
      </w:tr>
      <w:tr>
        <w:tblPrEx>
          <w:tblBorders>
            <w:top w:val="single" w:color="000000" w:sz="4" w:space="0"/>
            <w:left w:val="none" w:color="auto" w:sz="0" w:space="0"/>
            <w:bottom w:val="single" w:color="000000" w:sz="4" w:space="0"/>
            <w:right w:val="none" w:color="auto" w:sz="0" w:space="0"/>
            <w:insideH w:val="single" w:color="000000" w:sz="4" w:space="0"/>
            <w:insideV w:val="none" w:color="auto" w:sz="0" w:space="0"/>
          </w:tblBorders>
          <w:tblLayout w:type="fixed"/>
          <w:tblCellMar>
            <w:left w:w="108" w:type="dxa"/>
            <w:right w:w="108" w:type="dxa"/>
          </w:tblCellMar>
        </w:tblPrEx>
        <w:trPr>
          <w:trHeight w:val="359" w:hRule="atLeast"/>
        </w:trPr>
        <w:tc>
          <w:tcPr>
            <w:tcW w:w="2541" w:type="dxa"/>
            <w:tcBorders>
              <w:top w:val="nil"/>
              <w:bottom w:val="single" w:color="000000" w:sz="18" w:space="0"/>
            </w:tcBorders>
            <w:vAlign w:val="top"/>
          </w:tcPr>
          <w:p>
            <w:pPr>
              <w:pStyle w:val="12"/>
              <w:spacing w:after="0" w:line="240" w:lineRule="auto"/>
              <w:ind w:left="0"/>
              <w:rPr>
                <w:rFonts w:ascii="Arial" w:hAnsi="Arial" w:cs="Arial"/>
                <w:i/>
                <w:color w:val="000000"/>
              </w:rPr>
            </w:pPr>
            <w:r>
              <w:rPr>
                <w:rFonts w:ascii="Arial" w:hAnsi="Arial" w:cs="Arial"/>
                <w:i/>
                <w:color w:val="000000"/>
              </w:rPr>
              <w:t>Customer Retention</w:t>
            </w:r>
          </w:p>
          <w:p>
            <w:pPr>
              <w:pStyle w:val="12"/>
              <w:spacing w:after="0" w:line="240" w:lineRule="auto"/>
              <w:ind w:left="0"/>
              <w:rPr>
                <w:rFonts w:ascii="Arial" w:hAnsi="Arial" w:cs="Arial"/>
                <w:i/>
                <w:color w:val="000000"/>
              </w:rPr>
            </w:pPr>
            <w:r>
              <w:rPr>
                <w:rFonts w:ascii="Arial" w:hAnsi="Arial" w:cs="Arial"/>
                <w:color w:val="000000"/>
              </w:rPr>
              <w:t>(4 dimensi pertanyaan)</w:t>
            </w:r>
          </w:p>
        </w:tc>
        <w:tc>
          <w:tcPr>
            <w:tcW w:w="1498" w:type="dxa"/>
            <w:tcBorders>
              <w:top w:val="nil"/>
              <w:bottom w:val="single" w:color="000000" w:sz="18" w:space="0"/>
            </w:tcBorders>
            <w:vAlign w:val="top"/>
          </w:tcPr>
          <w:p>
            <w:pPr>
              <w:pStyle w:val="12"/>
              <w:spacing w:after="0" w:line="240" w:lineRule="auto"/>
              <w:ind w:left="0"/>
              <w:jc w:val="center"/>
              <w:rPr>
                <w:rFonts w:ascii="Arial" w:hAnsi="Arial" w:cs="Arial"/>
                <w:color w:val="000000"/>
              </w:rPr>
            </w:pPr>
            <w:r>
              <w:rPr>
                <w:rFonts w:ascii="Arial" w:hAnsi="Arial" w:cs="Arial"/>
                <w:color w:val="000000"/>
              </w:rPr>
              <w:t>0,000</w:t>
            </w:r>
          </w:p>
        </w:tc>
        <w:tc>
          <w:tcPr>
            <w:tcW w:w="2329" w:type="dxa"/>
            <w:tcBorders>
              <w:top w:val="nil"/>
              <w:bottom w:val="single" w:color="000000" w:sz="18" w:space="0"/>
            </w:tcBorders>
            <w:vAlign w:val="top"/>
          </w:tcPr>
          <w:p>
            <w:pPr>
              <w:pStyle w:val="12"/>
              <w:spacing w:after="0" w:line="240" w:lineRule="auto"/>
              <w:ind w:left="0"/>
              <w:jc w:val="center"/>
              <w:rPr>
                <w:rFonts w:ascii="Arial" w:hAnsi="Arial" w:cs="Arial"/>
                <w:color w:val="000000"/>
              </w:rPr>
            </w:pPr>
            <w:r>
              <w:rPr>
                <w:rFonts w:ascii="Arial" w:hAnsi="Arial" w:cs="Arial"/>
                <w:color w:val="000000"/>
              </w:rPr>
              <w:t>0,05</w:t>
            </w:r>
          </w:p>
        </w:tc>
        <w:tc>
          <w:tcPr>
            <w:tcW w:w="2137" w:type="dxa"/>
            <w:tcBorders>
              <w:top w:val="nil"/>
              <w:bottom w:val="single" w:color="000000" w:sz="18" w:space="0"/>
            </w:tcBorders>
            <w:vAlign w:val="top"/>
          </w:tcPr>
          <w:p>
            <w:pPr>
              <w:pStyle w:val="12"/>
              <w:spacing w:after="0" w:line="240" w:lineRule="auto"/>
              <w:ind w:left="0"/>
              <w:jc w:val="center"/>
              <w:rPr>
                <w:rFonts w:ascii="Arial" w:hAnsi="Arial" w:cs="Arial"/>
                <w:color w:val="000000"/>
              </w:rPr>
            </w:pPr>
            <w:r>
              <w:rPr>
                <w:rFonts w:ascii="Arial" w:hAnsi="Arial" w:cs="Arial"/>
                <w:color w:val="000000"/>
              </w:rPr>
              <w:t>Reliabel</w:t>
            </w:r>
          </w:p>
        </w:tc>
      </w:tr>
    </w:tbl>
    <w:p>
      <w:pPr>
        <w:shd w:val="clear" w:color="auto" w:fill="FFFFFF"/>
        <w:spacing w:after="0" w:line="240" w:lineRule="auto"/>
        <w:jc w:val="both"/>
        <w:rPr>
          <w:rFonts w:ascii="Arial" w:hAnsi="Arial" w:cs="Arial"/>
          <w:color w:val="000000"/>
        </w:rPr>
      </w:pPr>
    </w:p>
    <w:p>
      <w:pPr>
        <w:shd w:val="clear" w:color="auto" w:fill="FFFFFF"/>
        <w:spacing w:after="0" w:line="240" w:lineRule="auto"/>
        <w:jc w:val="both"/>
        <w:rPr>
          <w:rFonts w:ascii="Arial" w:hAnsi="Arial" w:cs="Arial"/>
          <w:b/>
          <w:color w:val="000000"/>
        </w:rPr>
        <w:sectPr>
          <w:type w:val="continuous"/>
          <w:pgSz w:w="11906" w:h="16838"/>
          <w:pgMar w:top="1701" w:right="1701" w:bottom="1701" w:left="1701" w:header="709" w:footer="692" w:gutter="0"/>
          <w:cols w:space="522" w:num="1"/>
          <w:docGrid w:linePitch="360" w:charSpace="0"/>
        </w:sectPr>
      </w:pPr>
    </w:p>
    <w:p>
      <w:pPr>
        <w:shd w:val="clear" w:color="auto" w:fill="FFFFFF"/>
        <w:spacing w:after="0" w:line="240" w:lineRule="auto"/>
        <w:jc w:val="both"/>
        <w:rPr>
          <w:rFonts w:ascii="Arial" w:hAnsi="Arial" w:cs="Arial"/>
          <w:b/>
          <w:color w:val="000000"/>
        </w:rPr>
      </w:pPr>
      <w:r>
        <w:rPr>
          <w:rFonts w:ascii="Arial" w:hAnsi="Arial" w:cs="Arial"/>
          <w:b/>
          <w:color w:val="000000"/>
        </w:rPr>
        <w:t>Uji Reliabilitas</w:t>
      </w:r>
    </w:p>
    <w:p>
      <w:pPr>
        <w:shd w:val="clear" w:color="auto" w:fill="FFFFFF"/>
        <w:spacing w:after="0" w:line="240" w:lineRule="auto"/>
        <w:ind w:firstLine="426"/>
        <w:jc w:val="both"/>
        <w:rPr>
          <w:rFonts w:ascii="Arial" w:hAnsi="Arial" w:cs="Arial"/>
          <w:color w:val="000000"/>
        </w:rPr>
      </w:pPr>
      <w:r>
        <w:rPr>
          <w:rFonts w:ascii="Arial" w:hAnsi="Arial" w:cs="Arial"/>
          <w:color w:val="000000"/>
        </w:rPr>
        <w:t xml:space="preserve">Menurut Ghozali (2011: 47), reliabilitas sebenarnya adalah alat untuk mengukur suatu kuesioner yang merupakan indikator dari variabel atau konstruk. Suatu kuesioner dikatakan reliabel atau handal jika jawaban seseorang terhadap pernyataan adalah konsisten atau stabil dari waktu ke waktu. Uji reliabilitas yang digunakan adalah uji </w:t>
      </w:r>
      <w:r>
        <w:rPr>
          <w:rFonts w:ascii="Arial" w:hAnsi="Arial" w:cs="Arial"/>
          <w:i/>
          <w:color w:val="000000"/>
        </w:rPr>
        <w:t>statistic</w:t>
      </w:r>
      <w:r>
        <w:rPr>
          <w:rFonts w:ascii="Arial" w:hAnsi="Arial" w:cs="Arial"/>
          <w:color w:val="000000"/>
        </w:rPr>
        <w:t xml:space="preserve"> </w:t>
      </w:r>
      <w:r>
        <w:rPr>
          <w:rFonts w:ascii="Arial" w:hAnsi="Arial" w:cs="Arial"/>
          <w:i/>
          <w:color w:val="000000"/>
        </w:rPr>
        <w:t>cronbach’s alpha</w:t>
      </w:r>
      <w:r>
        <w:rPr>
          <w:rFonts w:ascii="Arial" w:hAnsi="Arial" w:cs="Arial"/>
          <w:color w:val="000000"/>
        </w:rPr>
        <w:t xml:space="preserve">. Suatu instrumen dikatakan reliabel apabila mempunyai nilai </w:t>
      </w:r>
      <w:r>
        <w:rPr>
          <w:rFonts w:ascii="Arial" w:hAnsi="Arial" w:cs="Arial"/>
          <w:i/>
          <w:color w:val="000000"/>
        </w:rPr>
        <w:t xml:space="preserve">cronbach’s alpha </w:t>
      </w:r>
      <w:r>
        <w:rPr>
          <w:rFonts w:ascii="Arial" w:hAnsi="Arial" w:cs="Arial"/>
          <w:color w:val="000000"/>
        </w:rPr>
        <w:t>lebih besar dari 0,60 (Sarjono dan Julianita, 2011: 45).</w:t>
      </w:r>
    </w:p>
    <w:p>
      <w:pPr>
        <w:shd w:val="clear" w:color="auto" w:fill="FFFFFF"/>
        <w:spacing w:after="0" w:line="240" w:lineRule="auto"/>
        <w:ind w:firstLine="426"/>
        <w:jc w:val="both"/>
        <w:rPr>
          <w:rFonts w:ascii="Arial" w:hAnsi="Arial" w:cs="Arial"/>
          <w:color w:val="000000"/>
        </w:rPr>
      </w:pPr>
      <w:r>
        <w:rPr>
          <w:rFonts w:ascii="Arial" w:hAnsi="Arial" w:cs="Arial"/>
          <w:color w:val="000000"/>
        </w:rPr>
        <w:t>Dalam penelitian ini, hasil pengujian reliabilitas menunjukkan bahwa keseluruhan variabel yang digunakan dalam penelitian dinyatakan reliabel. Hasil uji reliabilitas atas variabel penelitian dapat dilihat pada Tabel 3.</w:t>
      </w:r>
    </w:p>
    <w:p>
      <w:pPr>
        <w:shd w:val="clear" w:color="auto" w:fill="FFFFFF"/>
        <w:spacing w:after="0" w:line="240" w:lineRule="auto"/>
        <w:ind w:firstLine="567"/>
        <w:jc w:val="both"/>
        <w:rPr>
          <w:rFonts w:ascii="Arial" w:hAnsi="Arial" w:cs="Arial"/>
          <w:color w:val="000000"/>
        </w:rPr>
      </w:pPr>
    </w:p>
    <w:p>
      <w:pPr>
        <w:shd w:val="clear" w:color="auto" w:fill="FFFFFF"/>
        <w:spacing w:after="0" w:line="240" w:lineRule="auto"/>
        <w:ind w:firstLine="567"/>
        <w:jc w:val="both"/>
        <w:rPr>
          <w:rFonts w:ascii="Arial" w:hAnsi="Arial" w:cs="Arial"/>
          <w:color w:val="000000"/>
        </w:rPr>
      </w:pPr>
    </w:p>
    <w:p>
      <w:pPr>
        <w:shd w:val="clear" w:color="auto" w:fill="FFFFFF"/>
        <w:spacing w:after="0" w:line="240" w:lineRule="auto"/>
        <w:ind w:firstLine="567"/>
        <w:jc w:val="both"/>
        <w:rPr>
          <w:rFonts w:ascii="Arial" w:hAnsi="Arial" w:cs="Arial"/>
          <w:color w:val="000000"/>
        </w:rPr>
      </w:pPr>
    </w:p>
    <w:p>
      <w:pPr>
        <w:shd w:val="clear" w:color="auto" w:fill="FFFFFF"/>
        <w:spacing w:after="0" w:line="240" w:lineRule="auto"/>
        <w:ind w:firstLine="567"/>
        <w:jc w:val="both"/>
        <w:rPr>
          <w:rFonts w:ascii="Arial" w:hAnsi="Arial" w:cs="Arial"/>
          <w:color w:val="000000"/>
        </w:rPr>
      </w:pPr>
    </w:p>
    <w:p>
      <w:pPr>
        <w:shd w:val="clear" w:color="auto" w:fill="FFFFFF"/>
        <w:spacing w:after="0" w:line="240" w:lineRule="auto"/>
        <w:ind w:firstLine="567"/>
        <w:jc w:val="both"/>
        <w:rPr>
          <w:rFonts w:ascii="Arial" w:hAnsi="Arial" w:cs="Arial"/>
          <w:color w:val="000000"/>
        </w:rPr>
        <w:sectPr>
          <w:type w:val="continuous"/>
          <w:pgSz w:w="11906" w:h="16838"/>
          <w:pgMar w:top="1701" w:right="1701" w:bottom="1701" w:left="1701" w:header="709" w:footer="692" w:gutter="0"/>
          <w:cols w:space="397" w:num="2"/>
          <w:docGrid w:linePitch="360" w:charSpace="0"/>
        </w:sectPr>
      </w:pPr>
    </w:p>
    <w:p>
      <w:pPr>
        <w:pStyle w:val="12"/>
        <w:spacing w:before="240" w:after="0" w:line="240" w:lineRule="auto"/>
        <w:ind w:left="0"/>
        <w:jc w:val="center"/>
        <w:rPr>
          <w:rFonts w:ascii="Arial" w:hAnsi="Arial" w:cs="Arial"/>
          <w:b/>
          <w:color w:val="000000"/>
        </w:rPr>
      </w:pPr>
      <w:r>
        <w:rPr>
          <w:rFonts w:ascii="Arial" w:hAnsi="Arial" w:cs="Arial"/>
          <w:b/>
          <w:color w:val="000000"/>
        </w:rPr>
        <w:t>Tabel 3.: Hasil Uji Reliabilitas</w:t>
      </w:r>
    </w:p>
    <w:tbl>
      <w:tblPr>
        <w:tblW w:w="8505" w:type="dxa"/>
        <w:tblInd w:w="108" w:type="dxa"/>
        <w:tblBorders>
          <w:top w:val="single" w:color="000000" w:sz="4" w:space="0"/>
          <w:left w:val="none" w:color="auto" w:sz="0" w:space="0"/>
          <w:bottom w:val="single" w:color="000000" w:sz="4" w:space="0"/>
          <w:right w:val="none" w:color="auto" w:sz="0" w:space="0"/>
          <w:insideH w:val="single" w:color="000000" w:sz="4" w:space="0"/>
          <w:insideV w:val="none" w:color="auto" w:sz="0" w:space="0"/>
        </w:tblBorders>
        <w:tblLayout w:type="fixed"/>
        <w:tblCellMar>
          <w:left w:w="108" w:type="dxa"/>
          <w:right w:w="108" w:type="dxa"/>
        </w:tblCellMar>
      </w:tblPr>
      <w:tblGrid>
        <w:gridCol w:w="2812"/>
        <w:gridCol w:w="2903"/>
        <w:gridCol w:w="2790"/>
      </w:tblGrid>
      <w:tr>
        <w:tblPrEx>
          <w:tblBorders>
            <w:top w:val="single" w:color="000000" w:sz="4" w:space="0"/>
            <w:left w:val="none" w:color="auto" w:sz="0" w:space="0"/>
            <w:bottom w:val="single" w:color="000000" w:sz="4" w:space="0"/>
            <w:right w:val="none" w:color="auto" w:sz="0" w:space="0"/>
            <w:insideH w:val="single" w:color="000000" w:sz="4" w:space="0"/>
            <w:insideV w:val="none" w:color="auto" w:sz="0" w:space="0"/>
          </w:tblBorders>
          <w:tblLayout w:type="fixed"/>
          <w:tblCellMar>
            <w:left w:w="108" w:type="dxa"/>
            <w:right w:w="108" w:type="dxa"/>
          </w:tblCellMar>
        </w:tblPrEx>
        <w:trPr>
          <w:trHeight w:val="335" w:hRule="atLeast"/>
        </w:trPr>
        <w:tc>
          <w:tcPr>
            <w:tcW w:w="2812" w:type="dxa"/>
            <w:tcBorders>
              <w:top w:val="single" w:color="000000" w:sz="18" w:space="0"/>
              <w:bottom w:val="single" w:color="000000" w:sz="18" w:space="0"/>
            </w:tcBorders>
            <w:shd w:val="clear" w:color="auto" w:fill="EEECE1"/>
            <w:vAlign w:val="top"/>
          </w:tcPr>
          <w:p>
            <w:pPr>
              <w:pStyle w:val="12"/>
              <w:spacing w:after="0" w:line="240" w:lineRule="auto"/>
              <w:ind w:left="0"/>
              <w:jc w:val="center"/>
              <w:rPr>
                <w:rFonts w:ascii="Arial" w:hAnsi="Arial" w:cs="Arial"/>
                <w:b/>
                <w:color w:val="000000"/>
              </w:rPr>
            </w:pPr>
            <w:r>
              <w:rPr>
                <w:rFonts w:ascii="Arial" w:hAnsi="Arial" w:cs="Arial"/>
                <w:b/>
                <w:color w:val="000000"/>
              </w:rPr>
              <w:t>Variabel</w:t>
            </w:r>
          </w:p>
        </w:tc>
        <w:tc>
          <w:tcPr>
            <w:tcW w:w="2903" w:type="dxa"/>
            <w:tcBorders>
              <w:top w:val="single" w:color="000000" w:sz="18" w:space="0"/>
              <w:bottom w:val="single" w:color="000000" w:sz="18" w:space="0"/>
            </w:tcBorders>
            <w:shd w:val="clear" w:color="auto" w:fill="EEECE1"/>
            <w:vAlign w:val="top"/>
          </w:tcPr>
          <w:p>
            <w:pPr>
              <w:pStyle w:val="12"/>
              <w:spacing w:after="0" w:line="240" w:lineRule="auto"/>
              <w:ind w:left="0"/>
              <w:jc w:val="center"/>
              <w:rPr>
                <w:rFonts w:ascii="Arial" w:hAnsi="Arial" w:cs="Arial"/>
                <w:b/>
                <w:i/>
                <w:color w:val="000000"/>
              </w:rPr>
            </w:pPr>
            <w:r>
              <w:rPr>
                <w:rFonts w:ascii="Arial" w:hAnsi="Arial" w:cs="Arial"/>
                <w:b/>
                <w:i/>
                <w:color w:val="000000"/>
              </w:rPr>
              <w:t>Cronbach’s Alpha</w:t>
            </w:r>
          </w:p>
        </w:tc>
        <w:tc>
          <w:tcPr>
            <w:tcW w:w="2790" w:type="dxa"/>
            <w:tcBorders>
              <w:top w:val="single" w:color="000000" w:sz="18" w:space="0"/>
              <w:bottom w:val="single" w:color="000000" w:sz="18" w:space="0"/>
            </w:tcBorders>
            <w:shd w:val="clear" w:color="auto" w:fill="EEECE1"/>
            <w:vAlign w:val="top"/>
          </w:tcPr>
          <w:p>
            <w:pPr>
              <w:pStyle w:val="12"/>
              <w:spacing w:after="0" w:line="240" w:lineRule="auto"/>
              <w:ind w:left="0"/>
              <w:jc w:val="center"/>
              <w:rPr>
                <w:rFonts w:ascii="Arial" w:hAnsi="Arial" w:cs="Arial"/>
                <w:b/>
                <w:color w:val="000000"/>
              </w:rPr>
            </w:pPr>
            <w:r>
              <w:rPr>
                <w:rFonts w:ascii="Arial" w:hAnsi="Arial" w:cs="Arial"/>
                <w:b/>
                <w:color w:val="000000"/>
              </w:rPr>
              <w:t>Kesimpulan</w:t>
            </w:r>
          </w:p>
        </w:tc>
      </w:tr>
      <w:tr>
        <w:tblPrEx>
          <w:tblBorders>
            <w:top w:val="single" w:color="000000" w:sz="4" w:space="0"/>
            <w:left w:val="none" w:color="auto" w:sz="0" w:space="0"/>
            <w:bottom w:val="single" w:color="000000" w:sz="4" w:space="0"/>
            <w:right w:val="none" w:color="auto" w:sz="0" w:space="0"/>
            <w:insideH w:val="single" w:color="000000" w:sz="4" w:space="0"/>
            <w:insideV w:val="none" w:color="auto" w:sz="0" w:space="0"/>
          </w:tblBorders>
          <w:tblLayout w:type="fixed"/>
          <w:tblCellMar>
            <w:left w:w="108" w:type="dxa"/>
            <w:right w:w="108" w:type="dxa"/>
          </w:tblCellMar>
        </w:tblPrEx>
        <w:trPr>
          <w:trHeight w:val="335" w:hRule="atLeast"/>
        </w:trPr>
        <w:tc>
          <w:tcPr>
            <w:tcW w:w="2812" w:type="dxa"/>
            <w:tcBorders>
              <w:top w:val="single" w:color="000000" w:sz="18" w:space="0"/>
              <w:bottom w:val="nil"/>
            </w:tcBorders>
            <w:vAlign w:val="top"/>
          </w:tcPr>
          <w:p>
            <w:pPr>
              <w:pStyle w:val="12"/>
              <w:spacing w:after="0" w:line="240" w:lineRule="auto"/>
              <w:ind w:left="0"/>
              <w:rPr>
                <w:rFonts w:ascii="Arial" w:hAnsi="Arial" w:cs="Arial"/>
                <w:color w:val="000000"/>
              </w:rPr>
            </w:pPr>
            <w:r>
              <w:rPr>
                <w:rFonts w:ascii="Arial" w:hAnsi="Arial" w:cs="Arial"/>
                <w:color w:val="000000"/>
              </w:rPr>
              <w:t>Kualitas Pelayanan</w:t>
            </w:r>
          </w:p>
        </w:tc>
        <w:tc>
          <w:tcPr>
            <w:tcW w:w="2903" w:type="dxa"/>
            <w:tcBorders>
              <w:top w:val="single" w:color="000000" w:sz="18" w:space="0"/>
              <w:bottom w:val="nil"/>
            </w:tcBorders>
            <w:vAlign w:val="top"/>
          </w:tcPr>
          <w:p>
            <w:pPr>
              <w:pStyle w:val="12"/>
              <w:spacing w:after="0" w:line="240" w:lineRule="auto"/>
              <w:ind w:left="0"/>
              <w:jc w:val="center"/>
              <w:rPr>
                <w:rFonts w:ascii="Arial" w:hAnsi="Arial" w:cs="Arial"/>
                <w:color w:val="000000"/>
              </w:rPr>
            </w:pPr>
            <w:r>
              <w:rPr>
                <w:rFonts w:ascii="Arial" w:hAnsi="Arial" w:cs="Arial"/>
                <w:color w:val="000000"/>
              </w:rPr>
              <w:t>0,887</w:t>
            </w:r>
          </w:p>
        </w:tc>
        <w:tc>
          <w:tcPr>
            <w:tcW w:w="2790" w:type="dxa"/>
            <w:tcBorders>
              <w:top w:val="single" w:color="000000" w:sz="18" w:space="0"/>
              <w:bottom w:val="nil"/>
            </w:tcBorders>
            <w:vAlign w:val="top"/>
          </w:tcPr>
          <w:p>
            <w:pPr>
              <w:pStyle w:val="12"/>
              <w:spacing w:after="0" w:line="240" w:lineRule="auto"/>
              <w:ind w:left="0"/>
              <w:jc w:val="center"/>
              <w:rPr>
                <w:rFonts w:ascii="Arial" w:hAnsi="Arial" w:cs="Arial"/>
                <w:color w:val="000000"/>
              </w:rPr>
            </w:pPr>
            <w:r>
              <w:rPr>
                <w:rFonts w:ascii="Arial" w:hAnsi="Arial" w:cs="Arial"/>
                <w:color w:val="000000"/>
              </w:rPr>
              <w:t>Reliabel</w:t>
            </w:r>
          </w:p>
        </w:tc>
      </w:tr>
      <w:tr>
        <w:tblPrEx>
          <w:tblBorders>
            <w:top w:val="single" w:color="000000" w:sz="4" w:space="0"/>
            <w:left w:val="none" w:color="auto" w:sz="0" w:space="0"/>
            <w:bottom w:val="single" w:color="000000" w:sz="4" w:space="0"/>
            <w:right w:val="none" w:color="auto" w:sz="0" w:space="0"/>
            <w:insideH w:val="single" w:color="000000" w:sz="4" w:space="0"/>
            <w:insideV w:val="none" w:color="auto" w:sz="0" w:space="0"/>
          </w:tblBorders>
          <w:tblLayout w:type="fixed"/>
          <w:tblCellMar>
            <w:left w:w="108" w:type="dxa"/>
            <w:right w:w="108" w:type="dxa"/>
          </w:tblCellMar>
        </w:tblPrEx>
        <w:trPr>
          <w:trHeight w:val="359" w:hRule="atLeast"/>
        </w:trPr>
        <w:tc>
          <w:tcPr>
            <w:tcW w:w="2812" w:type="dxa"/>
            <w:tcBorders>
              <w:top w:val="nil"/>
              <w:bottom w:val="nil"/>
            </w:tcBorders>
            <w:vAlign w:val="top"/>
          </w:tcPr>
          <w:p>
            <w:pPr>
              <w:pStyle w:val="12"/>
              <w:spacing w:after="0" w:line="240" w:lineRule="auto"/>
              <w:ind w:left="0"/>
              <w:rPr>
                <w:rFonts w:ascii="Arial" w:hAnsi="Arial" w:cs="Arial"/>
                <w:color w:val="000000"/>
              </w:rPr>
            </w:pPr>
            <w:r>
              <w:rPr>
                <w:rFonts w:ascii="Arial" w:hAnsi="Arial" w:cs="Arial"/>
                <w:color w:val="000000"/>
              </w:rPr>
              <w:t>Kualitas Produk</w:t>
            </w:r>
          </w:p>
        </w:tc>
        <w:tc>
          <w:tcPr>
            <w:tcW w:w="2903" w:type="dxa"/>
            <w:tcBorders>
              <w:top w:val="nil"/>
              <w:bottom w:val="nil"/>
            </w:tcBorders>
            <w:vAlign w:val="top"/>
          </w:tcPr>
          <w:p>
            <w:pPr>
              <w:pStyle w:val="12"/>
              <w:spacing w:after="0" w:line="240" w:lineRule="auto"/>
              <w:ind w:left="0"/>
              <w:jc w:val="center"/>
              <w:rPr>
                <w:rFonts w:ascii="Arial" w:hAnsi="Arial" w:cs="Arial"/>
                <w:color w:val="000000"/>
              </w:rPr>
            </w:pPr>
            <w:r>
              <w:rPr>
                <w:rFonts w:ascii="Arial" w:hAnsi="Arial" w:cs="Arial"/>
                <w:color w:val="000000"/>
              </w:rPr>
              <w:t>0,825</w:t>
            </w:r>
          </w:p>
        </w:tc>
        <w:tc>
          <w:tcPr>
            <w:tcW w:w="2790" w:type="dxa"/>
            <w:tcBorders>
              <w:top w:val="nil"/>
              <w:bottom w:val="nil"/>
            </w:tcBorders>
            <w:vAlign w:val="top"/>
          </w:tcPr>
          <w:p>
            <w:pPr>
              <w:pStyle w:val="12"/>
              <w:spacing w:after="0" w:line="240" w:lineRule="auto"/>
              <w:ind w:left="0"/>
              <w:jc w:val="center"/>
              <w:rPr>
                <w:rFonts w:ascii="Arial" w:hAnsi="Arial" w:cs="Arial"/>
                <w:color w:val="000000"/>
              </w:rPr>
            </w:pPr>
            <w:r>
              <w:rPr>
                <w:rFonts w:ascii="Arial" w:hAnsi="Arial" w:cs="Arial"/>
                <w:color w:val="000000"/>
              </w:rPr>
              <w:t>Reliabel</w:t>
            </w:r>
          </w:p>
        </w:tc>
      </w:tr>
      <w:tr>
        <w:tblPrEx>
          <w:tblBorders>
            <w:top w:val="single" w:color="000000" w:sz="4" w:space="0"/>
            <w:left w:val="none" w:color="auto" w:sz="0" w:space="0"/>
            <w:bottom w:val="single" w:color="000000" w:sz="4" w:space="0"/>
            <w:right w:val="none" w:color="auto" w:sz="0" w:space="0"/>
            <w:insideH w:val="single" w:color="000000" w:sz="4" w:space="0"/>
            <w:insideV w:val="none" w:color="auto" w:sz="0" w:space="0"/>
          </w:tblBorders>
          <w:tblLayout w:type="fixed"/>
          <w:tblCellMar>
            <w:left w:w="108" w:type="dxa"/>
            <w:right w:w="108" w:type="dxa"/>
          </w:tblCellMar>
        </w:tblPrEx>
        <w:trPr>
          <w:trHeight w:val="335" w:hRule="atLeast"/>
        </w:trPr>
        <w:tc>
          <w:tcPr>
            <w:tcW w:w="2812" w:type="dxa"/>
            <w:tcBorders>
              <w:top w:val="nil"/>
              <w:bottom w:val="nil"/>
            </w:tcBorders>
            <w:vAlign w:val="top"/>
          </w:tcPr>
          <w:p>
            <w:pPr>
              <w:pStyle w:val="12"/>
              <w:spacing w:after="0" w:line="240" w:lineRule="auto"/>
              <w:ind w:left="0"/>
              <w:rPr>
                <w:rFonts w:ascii="Arial" w:hAnsi="Arial" w:cs="Arial"/>
                <w:color w:val="000000"/>
              </w:rPr>
            </w:pPr>
            <w:r>
              <w:rPr>
                <w:rFonts w:ascii="Arial" w:hAnsi="Arial" w:cs="Arial"/>
                <w:color w:val="000000"/>
              </w:rPr>
              <w:t>Kepercayaan</w:t>
            </w:r>
          </w:p>
        </w:tc>
        <w:tc>
          <w:tcPr>
            <w:tcW w:w="2903" w:type="dxa"/>
            <w:tcBorders>
              <w:top w:val="nil"/>
              <w:bottom w:val="nil"/>
            </w:tcBorders>
            <w:vAlign w:val="top"/>
          </w:tcPr>
          <w:p>
            <w:pPr>
              <w:pStyle w:val="12"/>
              <w:spacing w:after="0" w:line="240" w:lineRule="auto"/>
              <w:ind w:left="0"/>
              <w:jc w:val="center"/>
              <w:rPr>
                <w:rFonts w:ascii="Arial" w:hAnsi="Arial" w:cs="Arial"/>
                <w:color w:val="000000"/>
              </w:rPr>
            </w:pPr>
            <w:r>
              <w:rPr>
                <w:rFonts w:ascii="Arial" w:hAnsi="Arial" w:cs="Arial"/>
                <w:color w:val="000000"/>
              </w:rPr>
              <w:t>0,901</w:t>
            </w:r>
          </w:p>
        </w:tc>
        <w:tc>
          <w:tcPr>
            <w:tcW w:w="2790" w:type="dxa"/>
            <w:tcBorders>
              <w:top w:val="nil"/>
              <w:bottom w:val="nil"/>
            </w:tcBorders>
            <w:vAlign w:val="top"/>
          </w:tcPr>
          <w:p>
            <w:pPr>
              <w:pStyle w:val="12"/>
              <w:spacing w:after="0" w:line="240" w:lineRule="auto"/>
              <w:ind w:left="0"/>
              <w:jc w:val="center"/>
              <w:rPr>
                <w:rFonts w:ascii="Arial" w:hAnsi="Arial" w:cs="Arial"/>
                <w:color w:val="000000"/>
              </w:rPr>
            </w:pPr>
            <w:r>
              <w:rPr>
                <w:rFonts w:ascii="Arial" w:hAnsi="Arial" w:cs="Arial"/>
                <w:color w:val="000000"/>
              </w:rPr>
              <w:t>Reliabel</w:t>
            </w:r>
          </w:p>
        </w:tc>
      </w:tr>
      <w:tr>
        <w:tblPrEx>
          <w:tblBorders>
            <w:top w:val="single" w:color="000000" w:sz="4" w:space="0"/>
            <w:left w:val="none" w:color="auto" w:sz="0" w:space="0"/>
            <w:bottom w:val="single" w:color="000000" w:sz="4" w:space="0"/>
            <w:right w:val="none" w:color="auto" w:sz="0" w:space="0"/>
            <w:insideH w:val="single" w:color="000000" w:sz="4" w:space="0"/>
            <w:insideV w:val="none" w:color="auto" w:sz="0" w:space="0"/>
          </w:tblBorders>
          <w:tblLayout w:type="fixed"/>
          <w:tblCellMar>
            <w:left w:w="108" w:type="dxa"/>
            <w:right w:w="108" w:type="dxa"/>
          </w:tblCellMar>
        </w:tblPrEx>
        <w:trPr>
          <w:trHeight w:val="359" w:hRule="atLeast"/>
        </w:trPr>
        <w:tc>
          <w:tcPr>
            <w:tcW w:w="2812" w:type="dxa"/>
            <w:tcBorders>
              <w:top w:val="nil"/>
              <w:bottom w:val="nil"/>
            </w:tcBorders>
            <w:vAlign w:val="top"/>
          </w:tcPr>
          <w:p>
            <w:pPr>
              <w:pStyle w:val="12"/>
              <w:spacing w:after="0" w:line="240" w:lineRule="auto"/>
              <w:ind w:left="0"/>
              <w:rPr>
                <w:rFonts w:ascii="Arial" w:hAnsi="Arial" w:cs="Arial"/>
                <w:color w:val="000000"/>
              </w:rPr>
            </w:pPr>
            <w:r>
              <w:rPr>
                <w:rFonts w:ascii="Arial" w:hAnsi="Arial" w:cs="Arial"/>
                <w:color w:val="000000"/>
              </w:rPr>
              <w:t>Nilai Nasabah</w:t>
            </w:r>
          </w:p>
        </w:tc>
        <w:tc>
          <w:tcPr>
            <w:tcW w:w="2903" w:type="dxa"/>
            <w:tcBorders>
              <w:top w:val="nil"/>
              <w:bottom w:val="nil"/>
            </w:tcBorders>
            <w:vAlign w:val="top"/>
          </w:tcPr>
          <w:p>
            <w:pPr>
              <w:pStyle w:val="12"/>
              <w:spacing w:after="0" w:line="240" w:lineRule="auto"/>
              <w:ind w:left="0"/>
              <w:jc w:val="center"/>
              <w:rPr>
                <w:rFonts w:ascii="Arial" w:hAnsi="Arial" w:cs="Arial"/>
                <w:color w:val="000000"/>
              </w:rPr>
            </w:pPr>
            <w:r>
              <w:rPr>
                <w:rFonts w:ascii="Arial" w:hAnsi="Arial" w:cs="Arial"/>
                <w:color w:val="000000"/>
              </w:rPr>
              <w:t>0,817</w:t>
            </w:r>
          </w:p>
        </w:tc>
        <w:tc>
          <w:tcPr>
            <w:tcW w:w="2790" w:type="dxa"/>
            <w:tcBorders>
              <w:top w:val="nil"/>
              <w:bottom w:val="nil"/>
            </w:tcBorders>
            <w:vAlign w:val="top"/>
          </w:tcPr>
          <w:p>
            <w:pPr>
              <w:pStyle w:val="12"/>
              <w:spacing w:after="0" w:line="240" w:lineRule="auto"/>
              <w:ind w:left="0"/>
              <w:jc w:val="center"/>
              <w:rPr>
                <w:rFonts w:ascii="Arial" w:hAnsi="Arial" w:cs="Arial"/>
                <w:color w:val="000000"/>
              </w:rPr>
            </w:pPr>
            <w:r>
              <w:rPr>
                <w:rFonts w:ascii="Arial" w:hAnsi="Arial" w:cs="Arial"/>
                <w:color w:val="000000"/>
              </w:rPr>
              <w:t>Reliabel</w:t>
            </w:r>
          </w:p>
        </w:tc>
      </w:tr>
      <w:tr>
        <w:tblPrEx>
          <w:tblBorders>
            <w:top w:val="single" w:color="000000" w:sz="4" w:space="0"/>
            <w:left w:val="none" w:color="auto" w:sz="0" w:space="0"/>
            <w:bottom w:val="single" w:color="000000" w:sz="4" w:space="0"/>
            <w:right w:val="none" w:color="auto" w:sz="0" w:space="0"/>
            <w:insideH w:val="single" w:color="000000" w:sz="4" w:space="0"/>
            <w:insideV w:val="none" w:color="auto" w:sz="0" w:space="0"/>
          </w:tblBorders>
          <w:tblLayout w:type="fixed"/>
          <w:tblCellMar>
            <w:left w:w="108" w:type="dxa"/>
            <w:right w:w="108" w:type="dxa"/>
          </w:tblCellMar>
        </w:tblPrEx>
        <w:trPr>
          <w:trHeight w:val="359" w:hRule="atLeast"/>
        </w:trPr>
        <w:tc>
          <w:tcPr>
            <w:tcW w:w="2812" w:type="dxa"/>
            <w:tcBorders>
              <w:top w:val="nil"/>
              <w:bottom w:val="nil"/>
            </w:tcBorders>
            <w:vAlign w:val="top"/>
          </w:tcPr>
          <w:p>
            <w:pPr>
              <w:pStyle w:val="12"/>
              <w:spacing w:after="0" w:line="240" w:lineRule="auto"/>
              <w:ind w:left="0"/>
              <w:rPr>
                <w:rFonts w:ascii="Arial" w:hAnsi="Arial" w:cs="Arial"/>
                <w:color w:val="000000"/>
              </w:rPr>
            </w:pPr>
            <w:r>
              <w:rPr>
                <w:rFonts w:ascii="Arial" w:hAnsi="Arial" w:cs="Arial"/>
                <w:color w:val="000000"/>
              </w:rPr>
              <w:t>Kepuasan Nasabah</w:t>
            </w:r>
          </w:p>
        </w:tc>
        <w:tc>
          <w:tcPr>
            <w:tcW w:w="2903" w:type="dxa"/>
            <w:tcBorders>
              <w:top w:val="nil"/>
              <w:bottom w:val="nil"/>
            </w:tcBorders>
            <w:vAlign w:val="top"/>
          </w:tcPr>
          <w:p>
            <w:pPr>
              <w:pStyle w:val="12"/>
              <w:spacing w:after="0" w:line="240" w:lineRule="auto"/>
              <w:ind w:left="0"/>
              <w:jc w:val="center"/>
              <w:rPr>
                <w:rFonts w:ascii="Arial" w:hAnsi="Arial" w:cs="Arial"/>
                <w:color w:val="000000"/>
              </w:rPr>
            </w:pPr>
            <w:r>
              <w:rPr>
                <w:rFonts w:ascii="Arial" w:hAnsi="Arial" w:cs="Arial"/>
                <w:color w:val="000000"/>
              </w:rPr>
              <w:t>0,922</w:t>
            </w:r>
          </w:p>
        </w:tc>
        <w:tc>
          <w:tcPr>
            <w:tcW w:w="2790" w:type="dxa"/>
            <w:tcBorders>
              <w:top w:val="nil"/>
              <w:bottom w:val="nil"/>
            </w:tcBorders>
            <w:vAlign w:val="top"/>
          </w:tcPr>
          <w:p>
            <w:pPr>
              <w:pStyle w:val="12"/>
              <w:spacing w:after="0" w:line="240" w:lineRule="auto"/>
              <w:ind w:left="0"/>
              <w:jc w:val="center"/>
              <w:rPr>
                <w:rFonts w:ascii="Arial" w:hAnsi="Arial" w:cs="Arial"/>
                <w:color w:val="000000"/>
              </w:rPr>
            </w:pPr>
            <w:r>
              <w:rPr>
                <w:rFonts w:ascii="Arial" w:hAnsi="Arial" w:cs="Arial"/>
                <w:color w:val="000000"/>
              </w:rPr>
              <w:t>Reliabel</w:t>
            </w:r>
          </w:p>
        </w:tc>
      </w:tr>
      <w:tr>
        <w:tblPrEx>
          <w:tblBorders>
            <w:top w:val="single" w:color="000000" w:sz="4" w:space="0"/>
            <w:left w:val="none" w:color="auto" w:sz="0" w:space="0"/>
            <w:bottom w:val="single" w:color="000000" w:sz="4" w:space="0"/>
            <w:right w:val="none" w:color="auto" w:sz="0" w:space="0"/>
            <w:insideH w:val="single" w:color="000000" w:sz="4" w:space="0"/>
            <w:insideV w:val="none" w:color="auto" w:sz="0" w:space="0"/>
          </w:tblBorders>
          <w:tblLayout w:type="fixed"/>
          <w:tblCellMar>
            <w:left w:w="108" w:type="dxa"/>
            <w:right w:w="108" w:type="dxa"/>
          </w:tblCellMar>
        </w:tblPrEx>
        <w:trPr>
          <w:trHeight w:val="359" w:hRule="atLeast"/>
        </w:trPr>
        <w:tc>
          <w:tcPr>
            <w:tcW w:w="2812" w:type="dxa"/>
            <w:tcBorders>
              <w:top w:val="nil"/>
              <w:bottom w:val="single" w:color="000000" w:sz="18" w:space="0"/>
            </w:tcBorders>
            <w:vAlign w:val="top"/>
          </w:tcPr>
          <w:p>
            <w:pPr>
              <w:pStyle w:val="12"/>
              <w:spacing w:after="0" w:line="240" w:lineRule="auto"/>
              <w:ind w:left="0"/>
              <w:rPr>
                <w:rFonts w:ascii="Arial" w:hAnsi="Arial" w:cs="Arial"/>
                <w:i/>
                <w:color w:val="000000"/>
              </w:rPr>
            </w:pPr>
            <w:r>
              <w:rPr>
                <w:rFonts w:ascii="Arial" w:hAnsi="Arial" w:cs="Arial"/>
                <w:i/>
                <w:color w:val="000000"/>
              </w:rPr>
              <w:t>Customer Retention</w:t>
            </w:r>
          </w:p>
        </w:tc>
        <w:tc>
          <w:tcPr>
            <w:tcW w:w="2903" w:type="dxa"/>
            <w:tcBorders>
              <w:top w:val="nil"/>
              <w:bottom w:val="single" w:color="000000" w:sz="18" w:space="0"/>
            </w:tcBorders>
            <w:vAlign w:val="top"/>
          </w:tcPr>
          <w:p>
            <w:pPr>
              <w:pStyle w:val="12"/>
              <w:spacing w:after="0" w:line="240" w:lineRule="auto"/>
              <w:ind w:left="0"/>
              <w:jc w:val="center"/>
              <w:rPr>
                <w:rFonts w:ascii="Arial" w:hAnsi="Arial" w:cs="Arial"/>
                <w:color w:val="000000"/>
              </w:rPr>
            </w:pPr>
            <w:r>
              <w:rPr>
                <w:rFonts w:ascii="Arial" w:hAnsi="Arial" w:cs="Arial"/>
                <w:color w:val="000000"/>
              </w:rPr>
              <w:t>0,871</w:t>
            </w:r>
          </w:p>
        </w:tc>
        <w:tc>
          <w:tcPr>
            <w:tcW w:w="2790" w:type="dxa"/>
            <w:tcBorders>
              <w:top w:val="nil"/>
              <w:bottom w:val="single" w:color="000000" w:sz="18" w:space="0"/>
            </w:tcBorders>
            <w:vAlign w:val="top"/>
          </w:tcPr>
          <w:p>
            <w:pPr>
              <w:pStyle w:val="12"/>
              <w:spacing w:after="0" w:line="240" w:lineRule="auto"/>
              <w:ind w:left="0"/>
              <w:jc w:val="center"/>
              <w:rPr>
                <w:rFonts w:ascii="Arial" w:hAnsi="Arial" w:cs="Arial"/>
                <w:color w:val="000000"/>
              </w:rPr>
            </w:pPr>
            <w:r>
              <w:rPr>
                <w:rFonts w:ascii="Arial" w:hAnsi="Arial" w:cs="Arial"/>
                <w:color w:val="000000"/>
              </w:rPr>
              <w:t>Reliabel</w:t>
            </w:r>
          </w:p>
        </w:tc>
      </w:tr>
    </w:tbl>
    <w:p>
      <w:pPr>
        <w:pStyle w:val="12"/>
        <w:spacing w:after="0" w:line="240" w:lineRule="auto"/>
        <w:ind w:left="0"/>
        <w:rPr>
          <w:rFonts w:ascii="Arial" w:hAnsi="Arial" w:cs="Arial"/>
          <w:b/>
          <w:color w:val="000000"/>
        </w:rPr>
      </w:pPr>
    </w:p>
    <w:p>
      <w:pPr>
        <w:pStyle w:val="12"/>
        <w:spacing w:after="0" w:line="240" w:lineRule="auto"/>
        <w:ind w:left="0"/>
        <w:rPr>
          <w:rFonts w:ascii="Arial" w:hAnsi="Arial" w:cs="Arial"/>
          <w:b/>
          <w:color w:val="000000"/>
        </w:rPr>
        <w:sectPr>
          <w:type w:val="continuous"/>
          <w:pgSz w:w="11906" w:h="16838"/>
          <w:pgMar w:top="1701" w:right="1701" w:bottom="1701" w:left="1701" w:header="709" w:footer="692" w:gutter="0"/>
          <w:cols w:space="522" w:num="1"/>
          <w:docGrid w:linePitch="360" w:charSpace="0"/>
        </w:sectPr>
      </w:pPr>
    </w:p>
    <w:p>
      <w:pPr>
        <w:pStyle w:val="12"/>
        <w:spacing w:after="0" w:line="240" w:lineRule="auto"/>
        <w:ind w:left="0"/>
        <w:rPr>
          <w:rFonts w:ascii="Arial" w:hAnsi="Arial" w:cs="Arial"/>
          <w:b/>
          <w:i/>
          <w:color w:val="000000"/>
        </w:rPr>
      </w:pPr>
      <w:r>
        <w:rPr>
          <w:rFonts w:ascii="Arial" w:hAnsi="Arial" w:cs="Arial"/>
          <w:b/>
          <w:color w:val="000000"/>
        </w:rPr>
        <w:t xml:space="preserve">Estimasi </w:t>
      </w:r>
      <w:r>
        <w:rPr>
          <w:rFonts w:ascii="Arial" w:hAnsi="Arial" w:cs="Arial"/>
          <w:b/>
          <w:i/>
          <w:color w:val="000000"/>
        </w:rPr>
        <w:t xml:space="preserve">Measurement Model </w:t>
      </w:r>
    </w:p>
    <w:p>
      <w:pPr>
        <w:pStyle w:val="12"/>
        <w:spacing w:after="0" w:line="240" w:lineRule="auto"/>
        <w:ind w:left="0" w:firstLine="426"/>
        <w:jc w:val="both"/>
        <w:rPr>
          <w:rFonts w:ascii="Arial" w:hAnsi="Arial" w:cs="Arial"/>
          <w:color w:val="000000"/>
        </w:rPr>
      </w:pPr>
      <w:r>
        <w:rPr>
          <w:rFonts w:ascii="Arial" w:hAnsi="Arial" w:cs="Arial"/>
          <w:color w:val="000000"/>
        </w:rPr>
        <w:t xml:space="preserve">Estimasi </w:t>
      </w:r>
      <w:r>
        <w:rPr>
          <w:rFonts w:ascii="Arial" w:hAnsi="Arial" w:cs="Arial"/>
          <w:i/>
          <w:color w:val="000000"/>
        </w:rPr>
        <w:t xml:space="preserve">Measurement Model </w:t>
      </w:r>
      <w:r>
        <w:rPr>
          <w:rFonts w:ascii="Arial" w:hAnsi="Arial" w:cs="Arial"/>
          <w:color w:val="000000"/>
        </w:rPr>
        <w:t xml:space="preserve">dengan teknik </w:t>
      </w:r>
      <w:r>
        <w:rPr>
          <w:rFonts w:ascii="Arial" w:hAnsi="Arial" w:cs="Arial"/>
          <w:i/>
          <w:color w:val="000000"/>
        </w:rPr>
        <w:t xml:space="preserve">Confirmatory Factor Analysis </w:t>
      </w:r>
      <w:r>
        <w:rPr>
          <w:rFonts w:ascii="Arial" w:hAnsi="Arial" w:cs="Arial"/>
          <w:color w:val="000000"/>
        </w:rPr>
        <w:t>(analisis faktor konfirmatori) yang digunakan untuk menguji undimensionalitas dari konstruk-konstruk eksogen dan endogen.</w:t>
      </w:r>
    </w:p>
    <w:p>
      <w:pPr>
        <w:pStyle w:val="12"/>
        <w:spacing w:after="0" w:line="240" w:lineRule="auto"/>
        <w:ind w:left="0" w:firstLine="426"/>
        <w:jc w:val="both"/>
        <w:rPr>
          <w:rFonts w:ascii="Arial" w:hAnsi="Arial" w:cs="Arial"/>
          <w:b/>
          <w:color w:val="000000"/>
        </w:rPr>
      </w:pPr>
    </w:p>
    <w:p>
      <w:pPr>
        <w:pStyle w:val="12"/>
        <w:spacing w:after="0" w:line="240" w:lineRule="auto"/>
        <w:ind w:left="0"/>
        <w:jc w:val="both"/>
        <w:rPr>
          <w:rFonts w:ascii="Arial" w:hAnsi="Arial" w:cs="Arial"/>
          <w:b/>
          <w:color w:val="000000"/>
        </w:rPr>
      </w:pPr>
      <w:r>
        <w:rPr>
          <w:rFonts w:ascii="Arial" w:hAnsi="Arial" w:cs="Arial"/>
          <w:b/>
          <w:color w:val="000000"/>
        </w:rPr>
        <w:t>Konstruk Eksogen Kualitas Pelayanan</w:t>
      </w:r>
    </w:p>
    <w:p>
      <w:pPr>
        <w:pStyle w:val="12"/>
        <w:spacing w:after="0" w:line="240" w:lineRule="auto"/>
        <w:ind w:left="0" w:firstLine="426"/>
        <w:jc w:val="both"/>
        <w:rPr>
          <w:rFonts w:ascii="Arial" w:hAnsi="Arial" w:cs="Arial"/>
          <w:color w:val="000000"/>
        </w:rPr>
      </w:pPr>
      <w:r>
        <w:rPr>
          <w:rFonts w:ascii="Arial" w:hAnsi="Arial" w:cs="Arial"/>
          <w:color w:val="000000"/>
        </w:rPr>
        <w:t>Konstruk eksogen kualitas pelayanan dapat dilihat pada Gambar 2.</w:t>
      </w:r>
    </w:p>
    <w:p>
      <w:pPr>
        <w:pStyle w:val="12"/>
        <w:spacing w:after="0" w:line="240" w:lineRule="auto"/>
        <w:ind w:left="0"/>
        <w:jc w:val="center"/>
        <w:rPr>
          <w:rFonts w:ascii="Arial" w:hAnsi="Arial" w:cs="Arial"/>
          <w:b/>
          <w:color w:val="000000"/>
        </w:rPr>
      </w:pPr>
    </w:p>
    <w:p>
      <w:pPr>
        <w:pStyle w:val="12"/>
        <w:spacing w:after="0" w:line="240" w:lineRule="auto"/>
        <w:ind w:left="0"/>
        <w:jc w:val="center"/>
        <w:rPr>
          <w:rFonts w:ascii="Arial" w:hAnsi="Arial" w:cs="Arial"/>
          <w:b/>
          <w:color w:val="000000"/>
        </w:rPr>
      </w:pPr>
      <w:r>
        <w:rPr>
          <w:rFonts w:ascii="Arial" w:hAnsi="Arial" w:cs="Arial"/>
          <w:b/>
          <w:color w:val="000000"/>
        </w:rPr>
        <w:t>Gambar 2.: Konstruk Eksogen Kualitas Pelayanan</w:t>
      </w:r>
    </w:p>
    <w:p>
      <w:pPr>
        <w:pStyle w:val="12"/>
        <w:spacing w:after="0" w:line="240" w:lineRule="auto"/>
        <w:ind w:left="0"/>
        <w:jc w:val="both"/>
        <w:rPr>
          <w:rFonts w:ascii="Arial" w:hAnsi="Arial" w:cs="Arial"/>
          <w:color w:val="000000"/>
        </w:rPr>
      </w:pPr>
      <w:r>
        <w:rPr>
          <w:rFonts w:ascii="Arial" w:hAnsi="Arial" w:eastAsia="Calibri" w:cs="Arial"/>
          <w:b/>
          <w:color w:val="000000"/>
          <w:sz w:val="22"/>
          <w:szCs w:val="22"/>
          <w:lang w:val="en-US" w:eastAsia="en-US" w:bidi="ar-SA"/>
        </w:rPr>
        <w:pict>
          <v:shape id="Picture 97" o:spid="_x0000_s1029" type="#_x0000_t75" style="position:absolute;left:0;margin-left:4.35pt;margin-top:3.3pt;height:182.65pt;width:196.85pt;rotation:0f;z-index:251668480;" o:ole="f" fillcolor="#FFFFFF" filled="f" o:preferrelative="t" stroked="t" coordorigin="0,0" coordsize="21600,21600">
            <v:fill on="f" color2="#FFFFFF" focus="0%"/>
            <v:stroke weight="3pt" color="#000000" color2="#FFFFFF" miterlimit="2"/>
            <v:imagedata cropleft="1244f" croptop="1287f" cropright="2727f" cropbottom="3297f" gain="65536f" blacklevel="0f" gamma="0" o:title="" r:id="rId8"/>
            <o:lock v:ext="edit" position="f" selection="f" grouping="f" rotation="f" cropping="f" text="f" aspectratio="t"/>
          </v:shape>
        </w:pict>
      </w:r>
    </w:p>
    <w:p>
      <w:pPr>
        <w:pStyle w:val="12"/>
        <w:spacing w:after="0" w:line="240" w:lineRule="auto"/>
        <w:ind w:left="0"/>
        <w:jc w:val="both"/>
        <w:rPr>
          <w:rFonts w:ascii="Arial" w:hAnsi="Arial" w:cs="Arial"/>
          <w:color w:val="000000"/>
        </w:rPr>
      </w:pPr>
    </w:p>
    <w:p>
      <w:pPr>
        <w:pStyle w:val="12"/>
        <w:spacing w:after="0" w:line="240" w:lineRule="auto"/>
        <w:ind w:left="0"/>
        <w:jc w:val="both"/>
        <w:rPr>
          <w:rFonts w:ascii="Arial" w:hAnsi="Arial" w:cs="Arial"/>
          <w:color w:val="000000"/>
        </w:rPr>
      </w:pPr>
    </w:p>
    <w:p>
      <w:pPr>
        <w:pStyle w:val="12"/>
        <w:spacing w:before="240" w:after="0" w:line="240" w:lineRule="auto"/>
        <w:ind w:left="0"/>
        <w:jc w:val="both"/>
        <w:rPr>
          <w:rFonts w:ascii="Arial" w:hAnsi="Arial" w:cs="Arial"/>
          <w:b/>
          <w:color w:val="000000"/>
        </w:rPr>
      </w:pPr>
    </w:p>
    <w:p>
      <w:pPr>
        <w:pStyle w:val="12"/>
        <w:spacing w:after="0" w:line="240" w:lineRule="auto"/>
        <w:ind w:left="0"/>
        <w:jc w:val="both"/>
        <w:rPr>
          <w:rFonts w:ascii="Arial" w:hAnsi="Arial" w:cs="Arial"/>
          <w:bCs/>
          <w:color w:val="000000"/>
        </w:rPr>
      </w:pPr>
      <w:r>
        <w:rPr>
          <w:rFonts w:ascii="Arial" w:hAnsi="Arial" w:cs="Arial"/>
          <w:bCs/>
          <w:color w:val="000000"/>
        </w:rPr>
        <w:t>Sumber: Data primer yang diolah.</w:t>
      </w:r>
    </w:p>
    <w:p>
      <w:pPr>
        <w:spacing w:before="240" w:after="0" w:line="240" w:lineRule="auto"/>
        <w:ind w:firstLine="426"/>
        <w:jc w:val="both"/>
        <w:rPr>
          <w:rFonts w:ascii="Arial" w:hAnsi="Arial" w:cs="Arial"/>
          <w:color w:val="000000"/>
        </w:rPr>
      </w:pPr>
      <w:r>
        <w:rPr>
          <w:rFonts w:ascii="Arial" w:hAnsi="Arial" w:cs="Arial"/>
          <w:color w:val="000000"/>
        </w:rPr>
        <w:t xml:space="preserve">Berdasarkan Gambar 2. dapat dilihat bahwa perhitungan nilai </w:t>
      </w:r>
      <w:r>
        <w:rPr>
          <w:rFonts w:ascii="Arial" w:hAnsi="Arial" w:cs="Arial"/>
          <w:i/>
          <w:color w:val="000000"/>
        </w:rPr>
        <w:t xml:space="preserve">chi-square </w:t>
      </w:r>
      <w:r>
        <w:rPr>
          <w:rFonts w:ascii="Arial" w:hAnsi="Arial" w:cs="Arial"/>
          <w:color w:val="000000"/>
        </w:rPr>
        <w:t>pada hasil uji konstruk eksogen kualitas pelayanan</w:t>
      </w:r>
      <w:r>
        <w:rPr>
          <w:rFonts w:ascii="Arial" w:hAnsi="Arial" w:cs="Arial"/>
          <w:i/>
          <w:color w:val="000000"/>
        </w:rPr>
        <w:t xml:space="preserve"> </w:t>
      </w:r>
      <w:r>
        <w:rPr>
          <w:rFonts w:ascii="Arial" w:hAnsi="Arial" w:cs="Arial"/>
          <w:color w:val="000000"/>
        </w:rPr>
        <w:t xml:space="preserve">memperoleh nilai sebesar 10,319 yang menunjukkan lebih kecil dari </w:t>
      </w:r>
      <w:r>
        <w:rPr>
          <w:rFonts w:ascii="Arial" w:hAnsi="Arial" w:cs="Arial"/>
          <w:i/>
          <w:color w:val="000000"/>
        </w:rPr>
        <w:t xml:space="preserve">chi-square </w:t>
      </w:r>
      <w:r>
        <w:rPr>
          <w:rFonts w:ascii="Arial" w:hAnsi="Arial" w:cs="Arial"/>
          <w:color w:val="000000"/>
        </w:rPr>
        <w:t xml:space="preserve">tabel untuk derajat kebe basan 9 pada tingkat signifikan 5 % sebesar 16,919. Nilai probabilitas sebesar 0,325, nilai tersebut </w:t>
      </w:r>
      <w:r>
        <w:rPr>
          <w:rFonts w:ascii="Arial" w:hAnsi="Arial" w:eastAsia="Times New Roman" w:cs="Arial"/>
          <w:color w:val="000000"/>
          <w:lang/>
        </w:rPr>
        <w:t xml:space="preserve">&gt; </w:t>
      </w:r>
      <w:r>
        <w:rPr>
          <w:rFonts w:ascii="Arial" w:hAnsi="Arial" w:cs="Arial"/>
          <w:color w:val="000000"/>
        </w:rPr>
        <w:t xml:space="preserve">0,05. Nilai CMIN/DF sebesar 1,147 telah memenuhi kriteria </w:t>
      </w:r>
      <w:r>
        <w:rPr>
          <w:rFonts w:ascii="Arial" w:hAnsi="Arial" w:cs="Arial"/>
          <w:i/>
          <w:color w:val="000000"/>
        </w:rPr>
        <w:t>fit</w:t>
      </w:r>
      <w:r>
        <w:rPr>
          <w:rFonts w:ascii="Arial" w:hAnsi="Arial" w:cs="Arial"/>
          <w:color w:val="000000"/>
        </w:rPr>
        <w:t xml:space="preserve"> &lt; 2,00. Nilai GFI sebesar 0,980 telah mendekati nilai 1,0 yang merupakan nilai rekomendasinya. Nilai RMSEA sebesar 0,029, sehingga memenuhi kriteria </w:t>
      </w:r>
      <w:r>
        <w:rPr>
          <w:rFonts w:ascii="Arial" w:hAnsi="Arial" w:cs="Arial"/>
          <w:i/>
          <w:color w:val="000000"/>
        </w:rPr>
        <w:t xml:space="preserve">fit </w:t>
      </w:r>
      <w:r>
        <w:rPr>
          <w:rFonts w:ascii="Arial" w:hAnsi="Arial" w:cs="Arial"/>
          <w:color w:val="000000"/>
        </w:rPr>
        <w:t xml:space="preserve">≤ 0,08. Nilai AGFI sebesar 0,954 telah mendekati nilai 1,0. Nilai TLI sebesar 0,996 dan NFI 0,981, sehingga nilai TLI dan NFI memenuhi kriteria </w:t>
      </w:r>
      <w:r>
        <w:rPr>
          <w:rFonts w:ascii="Arial" w:hAnsi="Arial" w:cs="Arial"/>
          <w:i/>
          <w:color w:val="000000"/>
        </w:rPr>
        <w:t>fit</w:t>
      </w:r>
      <w:r>
        <w:rPr>
          <w:rFonts w:ascii="Arial" w:hAnsi="Arial" w:cs="Arial"/>
          <w:color w:val="000000"/>
        </w:rPr>
        <w:t xml:space="preserve"> ≥ 0,90. Sedangkan nilai PNFI sebesar 0,588 telah memenuhi kriteria </w:t>
      </w:r>
      <w:r>
        <w:rPr>
          <w:rFonts w:ascii="Arial" w:hAnsi="Arial" w:cs="Arial"/>
          <w:i/>
          <w:color w:val="000000"/>
        </w:rPr>
        <w:t>fit</w:t>
      </w:r>
      <w:r>
        <w:rPr>
          <w:rFonts w:ascii="Arial" w:hAnsi="Arial" w:cs="Arial"/>
          <w:color w:val="000000"/>
        </w:rPr>
        <w:t xml:space="preserve"> &gt; 0,50. Nilai PGFI sebesar 0,420, belum memenuhi kriteria </w:t>
      </w:r>
      <w:r>
        <w:rPr>
          <w:rFonts w:ascii="Arial" w:hAnsi="Arial" w:cs="Arial"/>
          <w:i/>
          <w:color w:val="000000"/>
        </w:rPr>
        <w:t>fit</w:t>
      </w:r>
      <w:r>
        <w:rPr>
          <w:rFonts w:ascii="Arial" w:hAnsi="Arial" w:cs="Arial"/>
          <w:color w:val="000000"/>
        </w:rPr>
        <w:t xml:space="preserve"> ≥ 0,50. </w:t>
      </w:r>
    </w:p>
    <w:p>
      <w:pPr>
        <w:spacing w:after="0" w:line="240" w:lineRule="auto"/>
        <w:ind w:firstLine="426"/>
        <w:jc w:val="both"/>
        <w:rPr>
          <w:rFonts w:ascii="Arial" w:hAnsi="Arial" w:cs="Arial"/>
          <w:color w:val="000000"/>
        </w:rPr>
      </w:pPr>
      <w:r>
        <w:rPr>
          <w:rFonts w:ascii="Arial" w:hAnsi="Arial" w:cs="Arial"/>
          <w:color w:val="000000"/>
        </w:rPr>
        <w:t xml:space="preserve">Dapat disimpulkan, bahwa uji penilaian </w:t>
      </w:r>
      <w:r>
        <w:rPr>
          <w:rFonts w:ascii="Arial" w:hAnsi="Arial" w:cs="Arial"/>
          <w:i/>
          <w:color w:val="000000"/>
        </w:rPr>
        <w:t>goodness-of-fit</w:t>
      </w:r>
      <w:r>
        <w:rPr>
          <w:rFonts w:ascii="Arial" w:hAnsi="Arial" w:cs="Arial"/>
          <w:color w:val="000000"/>
        </w:rPr>
        <w:t xml:space="preserve"> telah memenuhi kriteria </w:t>
      </w:r>
      <w:r>
        <w:rPr>
          <w:rFonts w:ascii="Arial" w:hAnsi="Arial" w:cs="Arial"/>
          <w:i/>
          <w:color w:val="000000"/>
        </w:rPr>
        <w:t xml:space="preserve">fit </w:t>
      </w:r>
      <w:r>
        <w:rPr>
          <w:rFonts w:ascii="Arial" w:hAnsi="Arial" w:cs="Arial"/>
          <w:color w:val="000000"/>
        </w:rPr>
        <w:t xml:space="preserve">yang ditentukan. Oleh karena itu, model layak diuji pada tahap </w:t>
      </w:r>
      <w:r>
        <w:rPr>
          <w:rFonts w:ascii="Arial" w:hAnsi="Arial" w:cs="Arial"/>
          <w:i/>
          <w:color w:val="000000"/>
        </w:rPr>
        <w:t>full model</w:t>
      </w:r>
      <w:r>
        <w:rPr>
          <w:rFonts w:ascii="Arial" w:hAnsi="Arial" w:cs="Arial"/>
          <w:color w:val="000000"/>
        </w:rPr>
        <w:t>.</w:t>
      </w:r>
    </w:p>
    <w:p>
      <w:pPr>
        <w:pStyle w:val="12"/>
        <w:spacing w:before="240" w:after="0" w:line="240" w:lineRule="auto"/>
        <w:ind w:left="0"/>
        <w:jc w:val="both"/>
        <w:rPr>
          <w:rFonts w:ascii="Arial" w:hAnsi="Arial" w:cs="Arial"/>
          <w:b/>
          <w:color w:val="000000"/>
        </w:rPr>
      </w:pPr>
      <w:r>
        <w:rPr>
          <w:rFonts w:ascii="Arial" w:hAnsi="Arial" w:cs="Arial"/>
          <w:b/>
          <w:color w:val="000000"/>
        </w:rPr>
        <w:t>Konstruk Eksogen Kualitas Produk</w:t>
      </w:r>
    </w:p>
    <w:p>
      <w:pPr>
        <w:pStyle w:val="12"/>
        <w:spacing w:after="0" w:line="240" w:lineRule="auto"/>
        <w:ind w:left="0" w:firstLine="426"/>
        <w:jc w:val="both"/>
        <w:rPr>
          <w:rFonts w:ascii="Arial" w:hAnsi="Arial" w:cs="Arial"/>
          <w:color w:val="000000"/>
        </w:rPr>
      </w:pPr>
      <w:r>
        <w:rPr>
          <w:rFonts w:ascii="Arial" w:hAnsi="Arial" w:cs="Arial"/>
          <w:color w:val="000000"/>
        </w:rPr>
        <w:t>Konstruk eksogen kualitas produk dapat dilihat pada Gambar 3.</w:t>
      </w:r>
    </w:p>
    <w:p>
      <w:pPr>
        <w:pStyle w:val="12"/>
        <w:spacing w:after="0" w:line="240" w:lineRule="auto"/>
        <w:ind w:left="0"/>
        <w:rPr>
          <w:rFonts w:ascii="Arial" w:hAnsi="Arial" w:cs="Arial"/>
          <w:color w:val="000000"/>
        </w:rPr>
      </w:pPr>
    </w:p>
    <w:p>
      <w:pPr>
        <w:pStyle w:val="12"/>
        <w:spacing w:after="0" w:line="240" w:lineRule="auto"/>
        <w:ind w:left="0"/>
        <w:rPr>
          <w:rFonts w:ascii="Arial" w:hAnsi="Arial" w:cs="Arial"/>
          <w:color w:val="000000"/>
        </w:rPr>
      </w:pPr>
    </w:p>
    <w:p>
      <w:pPr>
        <w:pStyle w:val="12"/>
        <w:spacing w:after="0" w:line="240" w:lineRule="auto"/>
        <w:ind w:left="0"/>
        <w:rPr>
          <w:rFonts w:ascii="Arial" w:hAnsi="Arial" w:cs="Arial"/>
          <w:color w:val="000000"/>
        </w:rPr>
      </w:pPr>
    </w:p>
    <w:p>
      <w:pPr>
        <w:pStyle w:val="12"/>
        <w:spacing w:after="0" w:line="240" w:lineRule="auto"/>
        <w:ind w:left="0"/>
        <w:jc w:val="center"/>
        <w:rPr>
          <w:rFonts w:ascii="Arial" w:hAnsi="Arial" w:cs="Arial"/>
          <w:b/>
          <w:color w:val="000000"/>
        </w:rPr>
      </w:pPr>
      <w:r>
        <w:rPr>
          <w:rFonts w:ascii="Arial" w:hAnsi="Arial" w:cs="Arial"/>
          <w:b/>
          <w:color w:val="000000"/>
        </w:rPr>
        <w:t>Gambar 3.: Konstruk Eksogen Kualitas Produk</w:t>
      </w:r>
    </w:p>
    <w:p>
      <w:pPr>
        <w:pStyle w:val="12"/>
        <w:spacing w:after="0" w:line="240" w:lineRule="auto"/>
        <w:ind w:left="0"/>
        <w:rPr>
          <w:rFonts w:ascii="Arial" w:hAnsi="Arial" w:cs="Arial"/>
          <w:color w:val="000000"/>
        </w:rPr>
      </w:pPr>
      <w:r>
        <w:rPr>
          <w:rFonts w:ascii="Arial" w:hAnsi="Arial" w:eastAsia="Calibri" w:cs="Arial"/>
          <w:color w:val="000000"/>
          <w:sz w:val="22"/>
          <w:szCs w:val="22"/>
          <w:lang w:val="en-US" w:eastAsia="en-US" w:bidi="ar-SA"/>
        </w:rPr>
        <w:pict>
          <v:shape id="Picture 100" o:spid="_x0000_s1030" type="#_x0000_t75" style="position:absolute;left:0;margin-left:4.35pt;margin-top:3.1pt;height:182.65pt;width:193.85pt;rotation:0f;z-index:251671552;" o:ole="f" fillcolor="#FFFFFF" filled="f" o:preferrelative="t" stroked="t" coordorigin="0,0" coordsize="21600,21600">
            <v:fill on="f" color2="#FFFFFF" focus="0%"/>
            <v:stroke weight="3pt" color="#000000" color2="#FFFFFF" miterlimit="2"/>
            <v:imagedata cropleft="6917f" croptop="27449f" cropright="7128f" cropbottom="5414f" gain="65536f" blacklevel="0f" gamma="0" o:title="" r:id="rId9"/>
            <o:lock v:ext="edit" position="f" selection="f" grouping="f" rotation="f" cropping="f" text="f" aspectratio="t"/>
          </v:shape>
        </w:pict>
      </w:r>
    </w:p>
    <w:p>
      <w:pPr>
        <w:pStyle w:val="12"/>
        <w:spacing w:after="0" w:line="240" w:lineRule="auto"/>
        <w:ind w:left="0"/>
        <w:rPr>
          <w:rFonts w:ascii="Arial" w:hAnsi="Arial" w:cs="Arial"/>
          <w:color w:val="000000"/>
        </w:rPr>
      </w:pPr>
    </w:p>
    <w:p>
      <w:pPr>
        <w:pStyle w:val="12"/>
        <w:spacing w:after="0" w:line="240" w:lineRule="auto"/>
        <w:ind w:left="0"/>
        <w:rPr>
          <w:rFonts w:ascii="Arial" w:hAnsi="Arial" w:cs="Arial"/>
          <w:color w:val="000000"/>
        </w:rPr>
      </w:pPr>
    </w:p>
    <w:p>
      <w:pPr>
        <w:pStyle w:val="12"/>
        <w:spacing w:after="0" w:line="240" w:lineRule="auto"/>
        <w:ind w:left="0"/>
        <w:rPr>
          <w:rFonts w:ascii="Arial" w:hAnsi="Arial" w:cs="Arial"/>
          <w:color w:val="000000"/>
        </w:rPr>
      </w:pPr>
    </w:p>
    <w:p>
      <w:pPr>
        <w:pStyle w:val="12"/>
        <w:spacing w:after="0" w:line="240" w:lineRule="auto"/>
        <w:ind w:left="0"/>
        <w:rPr>
          <w:rFonts w:ascii="Arial" w:hAnsi="Arial" w:cs="Arial"/>
          <w:color w:val="000000"/>
        </w:rPr>
      </w:pPr>
    </w:p>
    <w:p>
      <w:pPr>
        <w:pStyle w:val="12"/>
        <w:spacing w:after="0" w:line="240" w:lineRule="auto"/>
        <w:ind w:left="0"/>
        <w:rPr>
          <w:rFonts w:ascii="Arial" w:hAnsi="Arial" w:cs="Arial"/>
          <w:color w:val="000000"/>
        </w:rPr>
      </w:pPr>
    </w:p>
    <w:p>
      <w:pPr>
        <w:pStyle w:val="12"/>
        <w:spacing w:after="0" w:line="240" w:lineRule="auto"/>
        <w:ind w:left="0"/>
        <w:rPr>
          <w:rFonts w:ascii="Arial" w:hAnsi="Arial" w:cs="Arial"/>
          <w:color w:val="000000"/>
        </w:rPr>
      </w:pPr>
    </w:p>
    <w:p>
      <w:pPr>
        <w:pStyle w:val="12"/>
        <w:spacing w:after="0" w:line="240" w:lineRule="auto"/>
        <w:ind w:left="0"/>
        <w:rPr>
          <w:rFonts w:ascii="Arial" w:hAnsi="Arial" w:cs="Arial"/>
          <w:color w:val="000000"/>
        </w:rPr>
      </w:pPr>
    </w:p>
    <w:p>
      <w:pPr>
        <w:pStyle w:val="12"/>
        <w:spacing w:after="0" w:line="240" w:lineRule="auto"/>
        <w:ind w:left="0"/>
        <w:rPr>
          <w:rFonts w:ascii="Arial" w:hAnsi="Arial" w:cs="Arial"/>
          <w:color w:val="000000"/>
        </w:rPr>
      </w:pPr>
    </w:p>
    <w:p>
      <w:pPr>
        <w:pStyle w:val="12"/>
        <w:spacing w:after="0" w:line="240" w:lineRule="auto"/>
        <w:ind w:left="0"/>
        <w:rPr>
          <w:rFonts w:ascii="Arial" w:hAnsi="Arial" w:cs="Arial"/>
          <w:color w:val="000000"/>
        </w:rPr>
      </w:pPr>
    </w:p>
    <w:p>
      <w:pPr>
        <w:pStyle w:val="12"/>
        <w:spacing w:after="0" w:line="240" w:lineRule="auto"/>
        <w:ind w:left="0"/>
        <w:rPr>
          <w:rFonts w:ascii="Arial" w:hAnsi="Arial" w:cs="Arial"/>
          <w:color w:val="000000"/>
        </w:rPr>
      </w:pPr>
    </w:p>
    <w:p>
      <w:pPr>
        <w:pStyle w:val="12"/>
        <w:spacing w:after="0" w:line="240" w:lineRule="auto"/>
        <w:ind w:left="0"/>
        <w:rPr>
          <w:rFonts w:ascii="Arial" w:hAnsi="Arial" w:cs="Arial"/>
          <w:color w:val="000000"/>
        </w:rPr>
      </w:pPr>
    </w:p>
    <w:p>
      <w:pPr>
        <w:pStyle w:val="12"/>
        <w:spacing w:after="0" w:line="240" w:lineRule="auto"/>
        <w:ind w:left="0"/>
        <w:rPr>
          <w:rFonts w:ascii="Arial" w:hAnsi="Arial" w:cs="Arial"/>
          <w:color w:val="000000"/>
        </w:rPr>
      </w:pPr>
    </w:p>
    <w:p>
      <w:pPr>
        <w:pStyle w:val="12"/>
        <w:spacing w:after="0" w:line="240" w:lineRule="auto"/>
        <w:ind w:left="0"/>
        <w:jc w:val="both"/>
        <w:rPr>
          <w:rFonts w:ascii="Arial" w:hAnsi="Arial" w:cs="Arial"/>
          <w:b/>
          <w:color w:val="000000"/>
        </w:rPr>
      </w:pPr>
    </w:p>
    <w:p>
      <w:pPr>
        <w:pStyle w:val="12"/>
        <w:spacing w:after="0" w:line="240" w:lineRule="auto"/>
        <w:ind w:left="0"/>
        <w:jc w:val="both"/>
        <w:rPr>
          <w:rFonts w:ascii="Arial" w:hAnsi="Arial" w:cs="Arial"/>
          <w:b/>
          <w:color w:val="000000"/>
        </w:rPr>
      </w:pPr>
    </w:p>
    <w:p>
      <w:pPr>
        <w:pStyle w:val="12"/>
        <w:spacing w:after="0" w:line="240" w:lineRule="auto"/>
        <w:ind w:left="0"/>
        <w:jc w:val="both"/>
        <w:rPr>
          <w:rFonts w:ascii="Arial" w:hAnsi="Arial" w:cs="Arial"/>
          <w:bCs/>
          <w:color w:val="000000"/>
        </w:rPr>
      </w:pPr>
      <w:r>
        <w:rPr>
          <w:rFonts w:ascii="Arial" w:hAnsi="Arial" w:cs="Arial"/>
          <w:bCs/>
          <w:color w:val="000000"/>
        </w:rPr>
        <w:t>Sumber: Data primer yang diolah.</w:t>
      </w:r>
    </w:p>
    <w:p>
      <w:pPr>
        <w:spacing w:before="240" w:after="0" w:line="240" w:lineRule="auto"/>
        <w:ind w:firstLine="426"/>
        <w:jc w:val="both"/>
        <w:rPr>
          <w:rFonts w:ascii="Arial" w:hAnsi="Arial" w:cs="Arial"/>
          <w:color w:val="000000"/>
        </w:rPr>
      </w:pPr>
      <w:r>
        <w:rPr>
          <w:rFonts w:ascii="Arial" w:hAnsi="Arial" w:cs="Arial"/>
          <w:color w:val="000000"/>
        </w:rPr>
        <w:t xml:space="preserve">Berdasarkan Gambar 3. dapat dilihat bahwa perhitungan nilai </w:t>
      </w:r>
      <w:r>
        <w:rPr>
          <w:rFonts w:ascii="Arial" w:hAnsi="Arial" w:cs="Arial"/>
          <w:i/>
          <w:color w:val="000000"/>
        </w:rPr>
        <w:t xml:space="preserve">chi-square </w:t>
      </w:r>
      <w:r>
        <w:rPr>
          <w:rFonts w:ascii="Arial" w:hAnsi="Arial" w:cs="Arial"/>
          <w:color w:val="000000"/>
        </w:rPr>
        <w:t>pada hasil uji konstruk eksogen kualitas produk</w:t>
      </w:r>
      <w:r>
        <w:rPr>
          <w:rFonts w:ascii="Arial" w:hAnsi="Arial" w:cs="Arial"/>
          <w:i/>
          <w:color w:val="000000"/>
        </w:rPr>
        <w:t xml:space="preserve"> </w:t>
      </w:r>
      <w:r>
        <w:rPr>
          <w:rFonts w:ascii="Arial" w:hAnsi="Arial" w:cs="Arial"/>
          <w:color w:val="000000"/>
        </w:rPr>
        <w:t xml:space="preserve">memperoleh nilai sebesar 1,199 yang menunjukkan lebih kecil dari </w:t>
      </w:r>
      <w:r>
        <w:rPr>
          <w:rFonts w:ascii="Arial" w:hAnsi="Arial" w:cs="Arial"/>
          <w:i/>
          <w:color w:val="000000"/>
        </w:rPr>
        <w:t xml:space="preserve">chi-square </w:t>
      </w:r>
      <w:r>
        <w:rPr>
          <w:rFonts w:ascii="Arial" w:hAnsi="Arial" w:cs="Arial"/>
          <w:color w:val="000000"/>
        </w:rPr>
        <w:t xml:space="preserve">tabel untuk derajat kebebasan 2 pada tingkat signifikan 5 % sebesar 5,991. Nilai probabilitas sebesar 0,549, nilai tersebut </w:t>
      </w:r>
      <w:r>
        <w:rPr>
          <w:rFonts w:ascii="Arial" w:hAnsi="Arial" w:eastAsia="Times New Roman" w:cs="Arial"/>
          <w:color w:val="000000"/>
          <w:lang/>
        </w:rPr>
        <w:t xml:space="preserve">&gt; </w:t>
      </w:r>
      <w:r>
        <w:rPr>
          <w:rFonts w:ascii="Arial" w:hAnsi="Arial" w:cs="Arial"/>
          <w:color w:val="000000"/>
        </w:rPr>
        <w:t xml:space="preserve">0,05. Nilai CMIN/DF sebesar 0,600 telah memenuhi kriteria </w:t>
      </w:r>
      <w:r>
        <w:rPr>
          <w:rFonts w:ascii="Arial" w:hAnsi="Arial" w:cs="Arial"/>
          <w:i/>
          <w:color w:val="000000"/>
        </w:rPr>
        <w:t>fit</w:t>
      </w:r>
      <w:r>
        <w:rPr>
          <w:rFonts w:ascii="Arial" w:hAnsi="Arial" w:cs="Arial"/>
          <w:color w:val="000000"/>
        </w:rPr>
        <w:t xml:space="preserve"> &lt; 2,00. Nilai GFI sebesar 0,996 telah mendekati nilai 1,0 yang merupakan nilai rekomendasinya. Nilai RMSEA sebesar 0,000, sehingga memenuhi kriteria </w:t>
      </w:r>
      <w:r>
        <w:rPr>
          <w:rFonts w:ascii="Arial" w:hAnsi="Arial" w:cs="Arial"/>
          <w:i/>
          <w:color w:val="000000"/>
        </w:rPr>
        <w:t xml:space="preserve">fit </w:t>
      </w:r>
      <w:r>
        <w:rPr>
          <w:rFonts w:ascii="Arial" w:hAnsi="Arial" w:cs="Arial"/>
          <w:color w:val="000000"/>
        </w:rPr>
        <w:t xml:space="preserve">≤ 0,08. Nilai AGFI sebesar 0,982 telah mendekati nilai 1,0. Nilai TLI sebesar 1,009 dan NFI 0,996, sehingga nilai TLI dan NFI memenuhi kriteria </w:t>
      </w:r>
      <w:r>
        <w:rPr>
          <w:rFonts w:ascii="Arial" w:hAnsi="Arial" w:cs="Arial"/>
          <w:i/>
          <w:color w:val="000000"/>
        </w:rPr>
        <w:t>fit</w:t>
      </w:r>
      <w:r>
        <w:rPr>
          <w:rFonts w:ascii="Arial" w:hAnsi="Arial" w:cs="Arial"/>
          <w:color w:val="000000"/>
        </w:rPr>
        <w:t xml:space="preserve"> ≥ 0,90. Sedangkan nilai PNFI sebesar 0,332 belum memenuhi kriteria </w:t>
      </w:r>
      <w:r>
        <w:rPr>
          <w:rFonts w:ascii="Arial" w:hAnsi="Arial" w:cs="Arial"/>
          <w:i/>
          <w:color w:val="000000"/>
        </w:rPr>
        <w:t>fit</w:t>
      </w:r>
      <w:r>
        <w:rPr>
          <w:rFonts w:ascii="Arial" w:hAnsi="Arial" w:cs="Arial"/>
          <w:color w:val="000000"/>
        </w:rPr>
        <w:t xml:space="preserve"> &gt; 0,50. Nilai PGFI sebesar 0,199, belum memenuhi kriteria </w:t>
      </w:r>
      <w:r>
        <w:rPr>
          <w:rFonts w:ascii="Arial" w:hAnsi="Arial" w:cs="Arial"/>
          <w:i/>
          <w:color w:val="000000"/>
        </w:rPr>
        <w:t>fit</w:t>
      </w:r>
      <w:r>
        <w:rPr>
          <w:rFonts w:ascii="Arial" w:hAnsi="Arial" w:cs="Arial"/>
          <w:color w:val="000000"/>
        </w:rPr>
        <w:t xml:space="preserve"> ≥ 0,50. </w:t>
      </w:r>
    </w:p>
    <w:p>
      <w:pPr>
        <w:spacing w:after="0" w:line="240" w:lineRule="auto"/>
        <w:ind w:firstLine="426"/>
        <w:jc w:val="both"/>
        <w:rPr>
          <w:rFonts w:ascii="Arial" w:hAnsi="Arial" w:cs="Arial"/>
          <w:color w:val="000000"/>
        </w:rPr>
      </w:pPr>
      <w:r>
        <w:rPr>
          <w:rFonts w:ascii="Arial" w:hAnsi="Arial" w:cs="Arial"/>
          <w:color w:val="000000"/>
        </w:rPr>
        <w:t xml:space="preserve">Dapat disimpulkan, bahwa uji penilaian </w:t>
      </w:r>
      <w:r>
        <w:rPr>
          <w:rFonts w:ascii="Arial" w:hAnsi="Arial" w:cs="Arial"/>
          <w:i/>
          <w:color w:val="000000"/>
        </w:rPr>
        <w:t>goodness-of-fit</w:t>
      </w:r>
      <w:r>
        <w:rPr>
          <w:rFonts w:ascii="Arial" w:hAnsi="Arial" w:cs="Arial"/>
          <w:color w:val="000000"/>
        </w:rPr>
        <w:t xml:space="preserve"> telah memenuhi kriteria </w:t>
      </w:r>
      <w:r>
        <w:rPr>
          <w:rFonts w:ascii="Arial" w:hAnsi="Arial" w:cs="Arial"/>
          <w:i/>
          <w:color w:val="000000"/>
        </w:rPr>
        <w:t xml:space="preserve">fit </w:t>
      </w:r>
      <w:r>
        <w:rPr>
          <w:rFonts w:ascii="Arial" w:hAnsi="Arial" w:cs="Arial"/>
          <w:color w:val="000000"/>
        </w:rPr>
        <w:t xml:space="preserve">yang ditentukan. Oleh karena itu, model layak diuji pada tahap </w:t>
      </w:r>
      <w:r>
        <w:rPr>
          <w:rFonts w:ascii="Arial" w:hAnsi="Arial" w:cs="Arial"/>
          <w:i/>
          <w:color w:val="000000"/>
        </w:rPr>
        <w:t>full model</w:t>
      </w:r>
      <w:r>
        <w:rPr>
          <w:rFonts w:ascii="Arial" w:hAnsi="Arial" w:cs="Arial"/>
          <w:color w:val="000000"/>
        </w:rPr>
        <w:t>.</w:t>
      </w:r>
    </w:p>
    <w:p>
      <w:pPr>
        <w:pStyle w:val="12"/>
        <w:spacing w:before="240" w:after="0" w:line="240" w:lineRule="auto"/>
        <w:ind w:left="0"/>
        <w:jc w:val="both"/>
        <w:rPr>
          <w:rFonts w:ascii="Arial" w:hAnsi="Arial" w:cs="Arial"/>
          <w:b/>
          <w:color w:val="000000"/>
        </w:rPr>
      </w:pPr>
      <w:r>
        <w:rPr>
          <w:rFonts w:ascii="Arial" w:hAnsi="Arial" w:cs="Arial"/>
          <w:b/>
          <w:color w:val="000000"/>
        </w:rPr>
        <w:t>Konstruk Eksogen Kepercayaan</w:t>
      </w:r>
    </w:p>
    <w:p>
      <w:pPr>
        <w:pStyle w:val="12"/>
        <w:spacing w:after="0" w:line="240" w:lineRule="auto"/>
        <w:ind w:left="0" w:firstLine="426"/>
        <w:jc w:val="both"/>
        <w:rPr>
          <w:rFonts w:ascii="Arial" w:hAnsi="Arial" w:cs="Arial"/>
          <w:color w:val="000000"/>
        </w:rPr>
      </w:pPr>
      <w:r>
        <w:rPr>
          <w:rFonts w:ascii="Arial" w:hAnsi="Arial" w:cs="Arial"/>
          <w:color w:val="000000"/>
        </w:rPr>
        <w:t>Konstruk eksogen kepercayaan dapat dilihat pada Gambar 4.</w:t>
      </w:r>
    </w:p>
    <w:p>
      <w:pPr>
        <w:pStyle w:val="12"/>
        <w:spacing w:after="0" w:line="240" w:lineRule="auto"/>
        <w:ind w:left="0"/>
        <w:rPr>
          <w:rFonts w:ascii="Arial" w:hAnsi="Arial" w:cs="Arial"/>
          <w:color w:val="000000"/>
        </w:rPr>
      </w:pPr>
    </w:p>
    <w:p>
      <w:pPr>
        <w:pStyle w:val="12"/>
        <w:spacing w:after="0" w:line="240" w:lineRule="auto"/>
        <w:ind w:left="0"/>
        <w:rPr>
          <w:rFonts w:ascii="Arial" w:hAnsi="Arial" w:cs="Arial"/>
          <w:color w:val="000000"/>
        </w:rPr>
      </w:pPr>
    </w:p>
    <w:p>
      <w:pPr>
        <w:pStyle w:val="12"/>
        <w:spacing w:after="0" w:line="240" w:lineRule="auto"/>
        <w:ind w:left="0"/>
        <w:jc w:val="center"/>
        <w:rPr>
          <w:rFonts w:ascii="Arial" w:hAnsi="Arial" w:cs="Arial"/>
          <w:b/>
          <w:color w:val="000000"/>
        </w:rPr>
      </w:pPr>
      <w:r>
        <w:rPr>
          <w:rFonts w:ascii="Arial" w:hAnsi="Arial" w:cs="Arial"/>
          <w:b/>
          <w:color w:val="000000"/>
        </w:rPr>
        <w:t>Gambar 4.: Konstruk Eksogen Kepercayaan</w:t>
      </w:r>
    </w:p>
    <w:p>
      <w:pPr>
        <w:pStyle w:val="12"/>
        <w:spacing w:after="0" w:line="240" w:lineRule="auto"/>
        <w:ind w:left="0"/>
        <w:rPr>
          <w:rFonts w:ascii="Arial" w:hAnsi="Arial" w:cs="Arial"/>
          <w:color w:val="000000"/>
        </w:rPr>
      </w:pPr>
      <w:r>
        <w:rPr>
          <w:rFonts w:ascii="Arial" w:hAnsi="Arial" w:eastAsia="Calibri" w:cs="Arial"/>
          <w:color w:val="000000"/>
          <w:sz w:val="22"/>
          <w:szCs w:val="22"/>
          <w:lang w:val="en-US" w:eastAsia="en-US" w:bidi="ar-SA"/>
        </w:rPr>
        <w:pict>
          <v:shape id="Picture 7" o:spid="_x0000_s1031" type="#_x0000_t75" style="position:absolute;left:0;margin-left:4.35pt;margin-top:6.65pt;height:180.45pt;width:195.95pt;rotation:0f;z-index:251672576;" o:ole="f" fillcolor="#FFFFFF" filled="f" o:preferrelative="t" stroked="t" coordorigin="0,0" coordsize="21600,21600">
            <v:fill on="f" color2="#FFFFFF" focus="0%"/>
            <v:stroke weight="3pt" color="#000000" color2="#FFFFFF" miterlimit="2"/>
            <v:imagedata cropleft="6666f" croptop="24695f" cropright="7250f" cropbottom="3514f" gain="65536f" blacklevel="0f" gamma="0" o:title="" r:id="rId10"/>
            <o:lock v:ext="edit" position="f" selection="f" grouping="f" rotation="f" cropping="f" text="f" aspectratio="t"/>
          </v:shape>
        </w:pict>
      </w:r>
    </w:p>
    <w:p>
      <w:pPr>
        <w:pStyle w:val="12"/>
        <w:spacing w:after="0" w:line="240" w:lineRule="auto"/>
        <w:ind w:left="0"/>
        <w:rPr>
          <w:rFonts w:ascii="Arial" w:hAnsi="Arial" w:cs="Arial"/>
          <w:color w:val="000000"/>
        </w:rPr>
      </w:pPr>
    </w:p>
    <w:p>
      <w:pPr>
        <w:pStyle w:val="12"/>
        <w:spacing w:after="0" w:line="240" w:lineRule="auto"/>
        <w:ind w:left="0"/>
        <w:rPr>
          <w:rFonts w:ascii="Arial" w:hAnsi="Arial" w:cs="Arial"/>
          <w:color w:val="000000"/>
        </w:rPr>
      </w:pPr>
    </w:p>
    <w:p>
      <w:pPr>
        <w:pStyle w:val="12"/>
        <w:spacing w:after="0" w:line="240" w:lineRule="auto"/>
        <w:ind w:left="0"/>
        <w:rPr>
          <w:rFonts w:ascii="Arial" w:hAnsi="Arial" w:cs="Arial"/>
          <w:color w:val="000000"/>
        </w:rPr>
      </w:pPr>
    </w:p>
    <w:p>
      <w:pPr>
        <w:pStyle w:val="12"/>
        <w:spacing w:after="0" w:line="240" w:lineRule="auto"/>
        <w:ind w:left="0"/>
        <w:rPr>
          <w:rFonts w:ascii="Arial" w:hAnsi="Arial" w:cs="Arial"/>
          <w:color w:val="000000"/>
        </w:rPr>
      </w:pPr>
    </w:p>
    <w:p>
      <w:pPr>
        <w:pStyle w:val="12"/>
        <w:spacing w:after="0" w:line="240" w:lineRule="auto"/>
        <w:ind w:left="0"/>
        <w:rPr>
          <w:rFonts w:ascii="Arial" w:hAnsi="Arial" w:cs="Arial"/>
          <w:color w:val="000000"/>
        </w:rPr>
      </w:pPr>
    </w:p>
    <w:p>
      <w:pPr>
        <w:pStyle w:val="12"/>
        <w:spacing w:after="0" w:line="240" w:lineRule="auto"/>
        <w:ind w:left="0"/>
        <w:rPr>
          <w:rFonts w:ascii="Arial" w:hAnsi="Arial" w:cs="Arial"/>
          <w:color w:val="000000"/>
        </w:rPr>
      </w:pPr>
    </w:p>
    <w:p>
      <w:pPr>
        <w:pStyle w:val="12"/>
        <w:spacing w:after="0" w:line="240" w:lineRule="auto"/>
        <w:ind w:left="0"/>
        <w:rPr>
          <w:rFonts w:ascii="Arial" w:hAnsi="Arial" w:cs="Arial"/>
          <w:color w:val="000000"/>
        </w:rPr>
      </w:pPr>
    </w:p>
    <w:p>
      <w:pPr>
        <w:pStyle w:val="12"/>
        <w:spacing w:after="0" w:line="240" w:lineRule="auto"/>
        <w:ind w:left="0"/>
        <w:rPr>
          <w:rFonts w:ascii="Arial" w:hAnsi="Arial" w:cs="Arial"/>
          <w:color w:val="000000"/>
        </w:rPr>
      </w:pPr>
    </w:p>
    <w:p>
      <w:pPr>
        <w:pStyle w:val="12"/>
        <w:spacing w:after="0" w:line="240" w:lineRule="auto"/>
        <w:ind w:left="0"/>
        <w:rPr>
          <w:rFonts w:ascii="Arial" w:hAnsi="Arial" w:cs="Arial"/>
          <w:color w:val="000000"/>
        </w:rPr>
      </w:pPr>
    </w:p>
    <w:p>
      <w:pPr>
        <w:pStyle w:val="12"/>
        <w:spacing w:after="0" w:line="240" w:lineRule="auto"/>
        <w:ind w:left="0"/>
        <w:rPr>
          <w:rFonts w:ascii="Arial" w:hAnsi="Arial" w:cs="Arial"/>
          <w:color w:val="000000"/>
        </w:rPr>
      </w:pPr>
    </w:p>
    <w:p>
      <w:pPr>
        <w:pStyle w:val="12"/>
        <w:spacing w:after="0" w:line="240" w:lineRule="auto"/>
        <w:ind w:left="0"/>
        <w:rPr>
          <w:rFonts w:ascii="Arial" w:hAnsi="Arial" w:cs="Arial"/>
          <w:color w:val="000000"/>
        </w:rPr>
      </w:pPr>
    </w:p>
    <w:p>
      <w:pPr>
        <w:pStyle w:val="12"/>
        <w:spacing w:after="0" w:line="240" w:lineRule="auto"/>
        <w:ind w:left="0"/>
        <w:rPr>
          <w:rFonts w:ascii="Arial" w:hAnsi="Arial" w:cs="Arial"/>
          <w:color w:val="000000"/>
        </w:rPr>
      </w:pPr>
    </w:p>
    <w:p>
      <w:pPr>
        <w:pStyle w:val="12"/>
        <w:spacing w:after="0" w:line="240" w:lineRule="auto"/>
        <w:ind w:left="0"/>
        <w:rPr>
          <w:rFonts w:ascii="Arial" w:hAnsi="Arial" w:cs="Arial"/>
          <w:color w:val="000000"/>
        </w:rPr>
      </w:pPr>
    </w:p>
    <w:p>
      <w:pPr>
        <w:pStyle w:val="12"/>
        <w:spacing w:after="0" w:line="240" w:lineRule="auto"/>
        <w:ind w:left="0"/>
        <w:jc w:val="both"/>
        <w:rPr>
          <w:rFonts w:ascii="Arial" w:hAnsi="Arial" w:cs="Arial"/>
          <w:bCs/>
          <w:color w:val="000000"/>
        </w:rPr>
      </w:pPr>
    </w:p>
    <w:p>
      <w:pPr>
        <w:pStyle w:val="12"/>
        <w:spacing w:after="0" w:line="240" w:lineRule="auto"/>
        <w:ind w:left="0"/>
        <w:jc w:val="both"/>
        <w:rPr>
          <w:rFonts w:ascii="Arial" w:hAnsi="Arial" w:cs="Arial"/>
          <w:bCs/>
          <w:color w:val="000000"/>
        </w:rPr>
      </w:pPr>
      <w:r>
        <w:rPr>
          <w:rFonts w:ascii="Arial" w:hAnsi="Arial" w:cs="Arial"/>
          <w:bCs/>
          <w:color w:val="000000"/>
        </w:rPr>
        <w:t>Sumber: Data primer yang diolah.</w:t>
      </w:r>
    </w:p>
    <w:p>
      <w:pPr>
        <w:spacing w:before="240" w:after="0" w:line="240" w:lineRule="auto"/>
        <w:ind w:firstLine="426"/>
        <w:jc w:val="both"/>
        <w:rPr>
          <w:rFonts w:ascii="Arial" w:hAnsi="Arial" w:cs="Arial"/>
          <w:color w:val="000000"/>
        </w:rPr>
      </w:pPr>
      <w:r>
        <w:rPr>
          <w:rFonts w:ascii="Arial" w:hAnsi="Arial" w:cs="Arial"/>
          <w:color w:val="000000"/>
        </w:rPr>
        <w:t xml:space="preserve">Berdasarkan Gambar 4. dapat dilihat bahwa perhitungan nilai </w:t>
      </w:r>
      <w:r>
        <w:rPr>
          <w:rFonts w:ascii="Arial" w:hAnsi="Arial" w:cs="Arial"/>
          <w:i/>
          <w:color w:val="000000"/>
        </w:rPr>
        <w:t xml:space="preserve">chi-square </w:t>
      </w:r>
      <w:r>
        <w:rPr>
          <w:rFonts w:ascii="Arial" w:hAnsi="Arial" w:cs="Arial"/>
          <w:color w:val="000000"/>
        </w:rPr>
        <w:t>pada hasil uji konstruk eksogen kepercayaan</w:t>
      </w:r>
      <w:r>
        <w:rPr>
          <w:rFonts w:ascii="Arial" w:hAnsi="Arial" w:cs="Arial"/>
          <w:i/>
          <w:color w:val="000000"/>
        </w:rPr>
        <w:t xml:space="preserve"> </w:t>
      </w:r>
      <w:r>
        <w:rPr>
          <w:rFonts w:ascii="Arial" w:hAnsi="Arial" w:cs="Arial"/>
          <w:color w:val="000000"/>
        </w:rPr>
        <w:t xml:space="preserve">memperoleh nilai sebesar 6,776 yang menunjukkan lebih kecil dari </w:t>
      </w:r>
      <w:r>
        <w:rPr>
          <w:rFonts w:ascii="Arial" w:hAnsi="Arial" w:cs="Arial"/>
          <w:i/>
          <w:color w:val="000000"/>
        </w:rPr>
        <w:t xml:space="preserve">chi-square </w:t>
      </w:r>
      <w:r>
        <w:rPr>
          <w:rFonts w:ascii="Arial" w:hAnsi="Arial" w:cs="Arial"/>
          <w:color w:val="000000"/>
        </w:rPr>
        <w:t xml:space="preserve">tabel untuk derajat kebebasan 5 pada tingkat signifikan 5 % sebesar 11,070. Nilai probabilitas sebesar 0,238, nilai tersebut </w:t>
      </w:r>
      <w:r>
        <w:rPr>
          <w:rFonts w:ascii="Arial" w:hAnsi="Arial" w:eastAsia="Times New Roman" w:cs="Arial"/>
          <w:color w:val="000000"/>
          <w:lang/>
        </w:rPr>
        <w:t xml:space="preserve">&gt; </w:t>
      </w:r>
      <w:r>
        <w:rPr>
          <w:rFonts w:ascii="Arial" w:hAnsi="Arial" w:cs="Arial"/>
          <w:color w:val="000000"/>
        </w:rPr>
        <w:t xml:space="preserve">0,05. Nilai CMIN/DF sebesar 1,355 telah memenuhi kriteria </w:t>
      </w:r>
      <w:r>
        <w:rPr>
          <w:rFonts w:ascii="Arial" w:hAnsi="Arial" w:cs="Arial"/>
          <w:i/>
          <w:color w:val="000000"/>
        </w:rPr>
        <w:t>fit</w:t>
      </w:r>
      <w:r>
        <w:rPr>
          <w:rFonts w:ascii="Arial" w:hAnsi="Arial" w:cs="Arial"/>
          <w:color w:val="000000"/>
        </w:rPr>
        <w:t xml:space="preserve"> &lt; 2,00. Nilai GFI sebesar 0,984 telah mendekati nilai 1,0 yang merupakan nilai rekomendasinya. Nilai RMSEA sebesar 0,046, sehingga memenuhi kriteria </w:t>
      </w:r>
      <w:r>
        <w:rPr>
          <w:rFonts w:ascii="Arial" w:hAnsi="Arial" w:cs="Arial"/>
          <w:i/>
          <w:color w:val="000000"/>
        </w:rPr>
        <w:t xml:space="preserve">fit </w:t>
      </w:r>
      <w:r>
        <w:rPr>
          <w:rFonts w:ascii="Arial" w:hAnsi="Arial" w:cs="Arial"/>
          <w:color w:val="000000"/>
        </w:rPr>
        <w:t xml:space="preserve">≤ 0,08. Nilai AGFI sebesar 0,952 telah mendekati nilai 1,0. Nilai TLI sebesar 0,993 dan NFI 0,987, sehingga nilai TLI dan NFI memenuhi kriteria </w:t>
      </w:r>
      <w:r>
        <w:rPr>
          <w:rFonts w:ascii="Arial" w:hAnsi="Arial" w:cs="Arial"/>
          <w:i/>
          <w:color w:val="000000"/>
        </w:rPr>
        <w:t>fit</w:t>
      </w:r>
      <w:r>
        <w:rPr>
          <w:rFonts w:ascii="Arial" w:hAnsi="Arial" w:cs="Arial"/>
          <w:color w:val="000000"/>
        </w:rPr>
        <w:t xml:space="preserve"> ≥ 0,90. Sedangkan nilai PNFI sebesar 0,493 belum memenuhi kriteria </w:t>
      </w:r>
      <w:r>
        <w:rPr>
          <w:rFonts w:ascii="Arial" w:hAnsi="Arial" w:cs="Arial"/>
          <w:i/>
          <w:color w:val="000000"/>
        </w:rPr>
        <w:t>fit</w:t>
      </w:r>
      <w:r>
        <w:rPr>
          <w:rFonts w:ascii="Arial" w:hAnsi="Arial" w:cs="Arial"/>
          <w:color w:val="000000"/>
        </w:rPr>
        <w:t xml:space="preserve"> &gt; 0,50. Nilai PGFI sebesar 0,328, belum memenuhi kriteria </w:t>
      </w:r>
      <w:r>
        <w:rPr>
          <w:rFonts w:ascii="Arial" w:hAnsi="Arial" w:cs="Arial"/>
          <w:i/>
          <w:color w:val="000000"/>
        </w:rPr>
        <w:t>fit</w:t>
      </w:r>
      <w:r>
        <w:rPr>
          <w:rFonts w:ascii="Arial" w:hAnsi="Arial" w:cs="Arial"/>
          <w:color w:val="000000"/>
        </w:rPr>
        <w:t xml:space="preserve"> ≥ 0,50. </w:t>
      </w:r>
    </w:p>
    <w:p>
      <w:pPr>
        <w:spacing w:after="0" w:line="240" w:lineRule="auto"/>
        <w:ind w:firstLine="426"/>
        <w:jc w:val="both"/>
        <w:rPr>
          <w:rFonts w:ascii="Arial" w:hAnsi="Arial" w:cs="Arial"/>
          <w:color w:val="000000"/>
        </w:rPr>
      </w:pPr>
      <w:r>
        <w:rPr>
          <w:rFonts w:ascii="Arial" w:hAnsi="Arial" w:cs="Arial"/>
          <w:color w:val="000000"/>
        </w:rPr>
        <w:t xml:space="preserve">Dapat disimpulkan, bahwa uji penilaian </w:t>
      </w:r>
      <w:r>
        <w:rPr>
          <w:rFonts w:ascii="Arial" w:hAnsi="Arial" w:cs="Arial"/>
          <w:i/>
          <w:color w:val="000000"/>
        </w:rPr>
        <w:t>goodness-of-fit</w:t>
      </w:r>
      <w:r>
        <w:rPr>
          <w:rFonts w:ascii="Arial" w:hAnsi="Arial" w:cs="Arial"/>
          <w:color w:val="000000"/>
        </w:rPr>
        <w:t xml:space="preserve"> telah memenuhi kriteria </w:t>
      </w:r>
      <w:r>
        <w:rPr>
          <w:rFonts w:ascii="Arial" w:hAnsi="Arial" w:cs="Arial"/>
          <w:i/>
          <w:color w:val="000000"/>
        </w:rPr>
        <w:t xml:space="preserve">fit </w:t>
      </w:r>
      <w:r>
        <w:rPr>
          <w:rFonts w:ascii="Arial" w:hAnsi="Arial" w:cs="Arial"/>
          <w:color w:val="000000"/>
        </w:rPr>
        <w:t xml:space="preserve">yang ditentukan. Oleh karena itu, model layak diuji pada tahap </w:t>
      </w:r>
      <w:r>
        <w:rPr>
          <w:rFonts w:ascii="Arial" w:hAnsi="Arial" w:cs="Arial"/>
          <w:i/>
          <w:color w:val="000000"/>
        </w:rPr>
        <w:t>full model</w:t>
      </w:r>
      <w:r>
        <w:rPr>
          <w:rFonts w:ascii="Arial" w:hAnsi="Arial" w:cs="Arial"/>
          <w:color w:val="000000"/>
        </w:rPr>
        <w:t>.</w:t>
      </w:r>
    </w:p>
    <w:p>
      <w:pPr>
        <w:pStyle w:val="12"/>
        <w:spacing w:before="240" w:after="0" w:line="240" w:lineRule="auto"/>
        <w:ind w:left="0"/>
        <w:jc w:val="both"/>
        <w:rPr>
          <w:rFonts w:ascii="Arial" w:hAnsi="Arial" w:cs="Arial"/>
          <w:b/>
          <w:color w:val="000000"/>
        </w:rPr>
      </w:pPr>
      <w:r>
        <w:rPr>
          <w:rFonts w:ascii="Arial" w:hAnsi="Arial" w:cs="Arial"/>
          <w:b/>
          <w:color w:val="000000"/>
        </w:rPr>
        <w:t>Konstruk Eksogen Nilai Nasabah</w:t>
      </w:r>
    </w:p>
    <w:p>
      <w:pPr>
        <w:pStyle w:val="12"/>
        <w:spacing w:after="0" w:line="240" w:lineRule="auto"/>
        <w:ind w:left="0" w:firstLine="426"/>
        <w:jc w:val="both"/>
        <w:rPr>
          <w:rFonts w:ascii="Arial" w:hAnsi="Arial" w:cs="Arial"/>
          <w:color w:val="000000"/>
        </w:rPr>
      </w:pPr>
      <w:r>
        <w:rPr>
          <w:rFonts w:ascii="Arial" w:hAnsi="Arial" w:cs="Arial"/>
          <w:color w:val="000000"/>
        </w:rPr>
        <w:t>Konstruk eksogen nilai nasabah dapat dilihat pada Gambar 5.</w:t>
      </w:r>
    </w:p>
    <w:p>
      <w:pPr>
        <w:pStyle w:val="12"/>
        <w:spacing w:after="0" w:line="240" w:lineRule="auto"/>
        <w:ind w:left="0"/>
        <w:rPr>
          <w:rFonts w:ascii="Arial" w:hAnsi="Arial" w:cs="Arial"/>
          <w:color w:val="000000"/>
        </w:rPr>
      </w:pPr>
    </w:p>
    <w:p>
      <w:pPr>
        <w:pStyle w:val="12"/>
        <w:spacing w:after="0" w:line="240" w:lineRule="auto"/>
        <w:ind w:left="0"/>
        <w:jc w:val="center"/>
        <w:rPr>
          <w:rFonts w:ascii="Arial" w:hAnsi="Arial" w:cs="Arial"/>
          <w:b/>
          <w:color w:val="000000"/>
        </w:rPr>
      </w:pPr>
    </w:p>
    <w:p>
      <w:pPr>
        <w:pStyle w:val="12"/>
        <w:spacing w:after="0" w:line="240" w:lineRule="auto"/>
        <w:ind w:left="0"/>
        <w:jc w:val="center"/>
        <w:rPr>
          <w:rFonts w:ascii="Arial" w:hAnsi="Arial" w:cs="Arial"/>
          <w:b/>
          <w:color w:val="000000"/>
        </w:rPr>
      </w:pPr>
      <w:r>
        <w:rPr>
          <w:rFonts w:ascii="Arial" w:hAnsi="Arial" w:cs="Arial"/>
          <w:b/>
          <w:color w:val="000000"/>
        </w:rPr>
        <w:t>Gambar 5.: Konstruk Eksogen Nilai Nasabah</w:t>
      </w:r>
    </w:p>
    <w:p>
      <w:pPr>
        <w:pStyle w:val="12"/>
        <w:spacing w:after="0" w:line="240" w:lineRule="auto"/>
        <w:ind w:left="0"/>
        <w:rPr>
          <w:rFonts w:ascii="Arial" w:hAnsi="Arial" w:cs="Arial"/>
          <w:color w:val="000000"/>
        </w:rPr>
      </w:pPr>
      <w:r>
        <w:rPr>
          <w:rFonts w:ascii="Arial" w:hAnsi="Arial" w:eastAsia="Calibri" w:cs="Arial"/>
          <w:color w:val="000000"/>
          <w:sz w:val="22"/>
          <w:szCs w:val="22"/>
          <w:lang w:val="en-US" w:eastAsia="en-US" w:bidi="ar-SA"/>
        </w:rPr>
        <w:pict>
          <v:shape id="Picture 10" o:spid="_x0000_s1032" type="#_x0000_t75" style="position:absolute;left:0;margin-left:4.15pt;margin-top:6.65pt;height:180.45pt;width:195.8pt;rotation:0f;z-index:251673600;" o:ole="f" fillcolor="#FFFFFF" filled="f" o:preferrelative="t" stroked="t" coordorigin="0,0" coordsize="21600,21600">
            <v:fill on="f" color2="#FFFFFF" focus="0%"/>
            <v:stroke weight="3pt" color="#000000" color2="#FFFFFF" miterlimit="2"/>
            <v:imagedata cropleft="6906f" croptop="25265f" cropright="7139f" cropbottom="7026f" gain="65536f" blacklevel="0f" gamma="0" o:title="" r:id="rId11"/>
            <o:lock v:ext="edit" position="f" selection="f" grouping="f" rotation="f" cropping="f" text="f" aspectratio="t"/>
          </v:shape>
        </w:pict>
      </w:r>
    </w:p>
    <w:p>
      <w:pPr>
        <w:pStyle w:val="12"/>
        <w:spacing w:after="0" w:line="240" w:lineRule="auto"/>
        <w:ind w:left="0"/>
        <w:rPr>
          <w:rFonts w:ascii="Arial" w:hAnsi="Arial" w:cs="Arial"/>
          <w:color w:val="000000"/>
        </w:rPr>
      </w:pPr>
    </w:p>
    <w:p>
      <w:pPr>
        <w:pStyle w:val="12"/>
        <w:spacing w:after="0" w:line="240" w:lineRule="auto"/>
        <w:ind w:left="0"/>
        <w:rPr>
          <w:rFonts w:ascii="Arial" w:hAnsi="Arial" w:cs="Arial"/>
          <w:color w:val="000000"/>
        </w:rPr>
      </w:pPr>
    </w:p>
    <w:p>
      <w:pPr>
        <w:pStyle w:val="12"/>
        <w:spacing w:after="0" w:line="240" w:lineRule="auto"/>
        <w:ind w:left="0"/>
        <w:rPr>
          <w:rFonts w:ascii="Arial" w:hAnsi="Arial" w:cs="Arial"/>
          <w:color w:val="000000"/>
        </w:rPr>
      </w:pPr>
    </w:p>
    <w:p>
      <w:pPr>
        <w:pStyle w:val="12"/>
        <w:spacing w:after="0" w:line="240" w:lineRule="auto"/>
        <w:ind w:left="0"/>
        <w:rPr>
          <w:rFonts w:ascii="Arial" w:hAnsi="Arial" w:cs="Arial"/>
          <w:color w:val="000000"/>
        </w:rPr>
      </w:pPr>
    </w:p>
    <w:p>
      <w:pPr>
        <w:pStyle w:val="12"/>
        <w:spacing w:after="0" w:line="240" w:lineRule="auto"/>
        <w:ind w:left="0"/>
        <w:rPr>
          <w:rFonts w:ascii="Arial" w:hAnsi="Arial" w:cs="Arial"/>
          <w:color w:val="000000"/>
        </w:rPr>
      </w:pPr>
    </w:p>
    <w:p>
      <w:pPr>
        <w:pStyle w:val="12"/>
        <w:spacing w:after="0" w:line="240" w:lineRule="auto"/>
        <w:ind w:left="0"/>
        <w:rPr>
          <w:rFonts w:ascii="Arial" w:hAnsi="Arial" w:cs="Arial"/>
          <w:color w:val="000000"/>
        </w:rPr>
      </w:pPr>
    </w:p>
    <w:p>
      <w:pPr>
        <w:pStyle w:val="12"/>
        <w:spacing w:after="0" w:line="240" w:lineRule="auto"/>
        <w:ind w:left="0"/>
        <w:rPr>
          <w:rFonts w:ascii="Arial" w:hAnsi="Arial" w:cs="Arial"/>
          <w:color w:val="000000"/>
        </w:rPr>
      </w:pPr>
    </w:p>
    <w:p>
      <w:pPr>
        <w:pStyle w:val="12"/>
        <w:spacing w:after="0" w:line="240" w:lineRule="auto"/>
        <w:ind w:left="0"/>
        <w:rPr>
          <w:rFonts w:ascii="Arial" w:hAnsi="Arial" w:cs="Arial"/>
          <w:color w:val="000000"/>
        </w:rPr>
      </w:pPr>
    </w:p>
    <w:p>
      <w:pPr>
        <w:pStyle w:val="12"/>
        <w:spacing w:after="0" w:line="240" w:lineRule="auto"/>
        <w:ind w:left="0"/>
        <w:rPr>
          <w:rFonts w:ascii="Arial" w:hAnsi="Arial" w:cs="Arial"/>
          <w:color w:val="000000"/>
        </w:rPr>
      </w:pPr>
    </w:p>
    <w:p>
      <w:pPr>
        <w:pStyle w:val="12"/>
        <w:spacing w:after="0" w:line="240" w:lineRule="auto"/>
        <w:ind w:left="0"/>
        <w:rPr>
          <w:rFonts w:ascii="Arial" w:hAnsi="Arial" w:cs="Arial"/>
          <w:color w:val="000000"/>
        </w:rPr>
      </w:pPr>
    </w:p>
    <w:p>
      <w:pPr>
        <w:pStyle w:val="12"/>
        <w:spacing w:after="0" w:line="240" w:lineRule="auto"/>
        <w:ind w:left="0"/>
        <w:rPr>
          <w:rFonts w:ascii="Arial" w:hAnsi="Arial" w:cs="Arial"/>
          <w:color w:val="000000"/>
        </w:rPr>
      </w:pPr>
    </w:p>
    <w:p>
      <w:pPr>
        <w:pStyle w:val="12"/>
        <w:spacing w:after="0" w:line="240" w:lineRule="auto"/>
        <w:ind w:left="0"/>
        <w:rPr>
          <w:rFonts w:ascii="Arial" w:hAnsi="Arial" w:cs="Arial"/>
          <w:color w:val="000000"/>
        </w:rPr>
      </w:pPr>
    </w:p>
    <w:p>
      <w:pPr>
        <w:pStyle w:val="12"/>
        <w:spacing w:after="0" w:line="240" w:lineRule="auto"/>
        <w:ind w:left="0"/>
        <w:rPr>
          <w:rFonts w:ascii="Arial" w:hAnsi="Arial" w:cs="Arial"/>
          <w:color w:val="000000"/>
        </w:rPr>
      </w:pPr>
    </w:p>
    <w:p>
      <w:pPr>
        <w:pStyle w:val="12"/>
        <w:spacing w:after="0" w:line="240" w:lineRule="auto"/>
        <w:ind w:left="0"/>
        <w:rPr>
          <w:rFonts w:ascii="Arial" w:hAnsi="Arial" w:cs="Arial"/>
          <w:bCs/>
          <w:color w:val="000000"/>
        </w:rPr>
      </w:pPr>
    </w:p>
    <w:p>
      <w:pPr>
        <w:pStyle w:val="12"/>
        <w:spacing w:after="0" w:line="240" w:lineRule="auto"/>
        <w:ind w:left="0"/>
        <w:jc w:val="both"/>
        <w:rPr>
          <w:rFonts w:ascii="Arial" w:hAnsi="Arial" w:cs="Arial"/>
          <w:bCs/>
          <w:color w:val="000000"/>
        </w:rPr>
      </w:pPr>
      <w:r>
        <w:rPr>
          <w:rFonts w:ascii="Arial" w:hAnsi="Arial" w:cs="Arial"/>
          <w:bCs/>
          <w:color w:val="000000"/>
        </w:rPr>
        <w:t>Sumber: Data primer yang diolah.</w:t>
      </w:r>
    </w:p>
    <w:p>
      <w:pPr>
        <w:spacing w:before="240" w:after="0" w:line="240" w:lineRule="auto"/>
        <w:ind w:firstLine="426"/>
        <w:jc w:val="both"/>
        <w:rPr>
          <w:rFonts w:ascii="Arial" w:hAnsi="Arial" w:cs="Arial"/>
          <w:color w:val="000000"/>
        </w:rPr>
      </w:pPr>
      <w:r>
        <w:rPr>
          <w:rFonts w:ascii="Arial" w:hAnsi="Arial" w:cs="Arial"/>
          <w:color w:val="000000"/>
        </w:rPr>
        <w:t xml:space="preserve">Berdasarkan Gambar 5. dapat dilihat bahwa perhitungan nilai </w:t>
      </w:r>
      <w:r>
        <w:rPr>
          <w:rFonts w:ascii="Arial" w:hAnsi="Arial" w:cs="Arial"/>
          <w:i/>
          <w:color w:val="000000"/>
        </w:rPr>
        <w:t xml:space="preserve">chi-square </w:t>
      </w:r>
      <w:r>
        <w:rPr>
          <w:rFonts w:ascii="Arial" w:hAnsi="Arial" w:cs="Arial"/>
          <w:color w:val="000000"/>
        </w:rPr>
        <w:t>pada hasil uji konstruk eksogen nilai nasabah</w:t>
      </w:r>
      <w:r>
        <w:rPr>
          <w:rFonts w:ascii="Arial" w:hAnsi="Arial" w:cs="Arial"/>
          <w:i/>
          <w:color w:val="000000"/>
        </w:rPr>
        <w:t xml:space="preserve"> </w:t>
      </w:r>
      <w:r>
        <w:rPr>
          <w:rFonts w:ascii="Arial" w:hAnsi="Arial" w:cs="Arial"/>
          <w:color w:val="000000"/>
        </w:rPr>
        <w:t xml:space="preserve">memperoleh nilai sebesar  3,596 yang menunjukkan lebih kecil dari </w:t>
      </w:r>
      <w:r>
        <w:rPr>
          <w:rFonts w:ascii="Arial" w:hAnsi="Arial" w:cs="Arial"/>
          <w:i/>
          <w:color w:val="000000"/>
        </w:rPr>
        <w:t xml:space="preserve">chi-square </w:t>
      </w:r>
      <w:r>
        <w:rPr>
          <w:rFonts w:ascii="Arial" w:hAnsi="Arial" w:cs="Arial"/>
          <w:color w:val="000000"/>
        </w:rPr>
        <w:t xml:space="preserve">tabel untuk derajat kebebasan 2 pada tingkat signifikan 5 % sebesar 5,991. Nilai probabilitas sebesar 0,166, nilai tersebut </w:t>
      </w:r>
      <w:r>
        <w:rPr>
          <w:rFonts w:ascii="Arial" w:hAnsi="Arial" w:eastAsia="Times New Roman" w:cs="Arial"/>
          <w:color w:val="000000"/>
          <w:lang/>
        </w:rPr>
        <w:t xml:space="preserve">&gt; </w:t>
      </w:r>
      <w:r>
        <w:rPr>
          <w:rFonts w:ascii="Arial" w:hAnsi="Arial" w:cs="Arial"/>
          <w:color w:val="000000"/>
        </w:rPr>
        <w:t xml:space="preserve">0,05. Nilai CMIN/DF sebesar 1,798 telah memenuhi kriteria </w:t>
      </w:r>
      <w:r>
        <w:rPr>
          <w:rFonts w:ascii="Arial" w:hAnsi="Arial" w:cs="Arial"/>
          <w:i/>
          <w:color w:val="000000"/>
        </w:rPr>
        <w:t>fit</w:t>
      </w:r>
      <w:r>
        <w:rPr>
          <w:rFonts w:ascii="Arial" w:hAnsi="Arial" w:cs="Arial"/>
          <w:color w:val="000000"/>
        </w:rPr>
        <w:t xml:space="preserve"> &lt; 2,00. Nilai GFI sebesar 0,990 telah mendekati nilai 1,0 yang merupakan nilai rekomendasinya. Nilai RMSEA sebesar 0,068, sehingga memenuhi kriteria </w:t>
      </w:r>
      <w:r>
        <w:rPr>
          <w:rFonts w:ascii="Arial" w:hAnsi="Arial" w:cs="Arial"/>
          <w:i/>
          <w:color w:val="000000"/>
        </w:rPr>
        <w:t xml:space="preserve">fit </w:t>
      </w:r>
      <w:r>
        <w:rPr>
          <w:rFonts w:ascii="Arial" w:hAnsi="Arial" w:cs="Arial"/>
          <w:color w:val="000000"/>
        </w:rPr>
        <w:t xml:space="preserve">≤ 0,08. Nilai AGFI sebesar 0,949 telah mendekati nilai 1,0. Nilai TLI sebesar 0,984 dan NFI 0,988, sehingga nilai TLI dan NFI memenuhi kriteria </w:t>
      </w:r>
      <w:r>
        <w:rPr>
          <w:rFonts w:ascii="Arial" w:hAnsi="Arial" w:cs="Arial"/>
          <w:i/>
          <w:color w:val="000000"/>
        </w:rPr>
        <w:t>fit</w:t>
      </w:r>
      <w:r>
        <w:rPr>
          <w:rFonts w:ascii="Arial" w:hAnsi="Arial" w:cs="Arial"/>
          <w:color w:val="000000"/>
        </w:rPr>
        <w:t xml:space="preserve"> ≥ 0,90. Sedangkan nilai PNFI sebesar 0,329 belum memenuhi kriteria </w:t>
      </w:r>
      <w:r>
        <w:rPr>
          <w:rFonts w:ascii="Arial" w:hAnsi="Arial" w:cs="Arial"/>
          <w:i/>
          <w:color w:val="000000"/>
        </w:rPr>
        <w:t>fit</w:t>
      </w:r>
      <w:r>
        <w:rPr>
          <w:rFonts w:ascii="Arial" w:hAnsi="Arial" w:cs="Arial"/>
          <w:color w:val="000000"/>
        </w:rPr>
        <w:t xml:space="preserve"> &gt; 0,50. Nilai PGFI sebesar 0,198, belum memenuhi kriteria </w:t>
      </w:r>
      <w:r>
        <w:rPr>
          <w:rFonts w:ascii="Arial" w:hAnsi="Arial" w:cs="Arial"/>
          <w:i/>
          <w:color w:val="000000"/>
        </w:rPr>
        <w:t>fit</w:t>
      </w:r>
      <w:r>
        <w:rPr>
          <w:rFonts w:ascii="Arial" w:hAnsi="Arial" w:cs="Arial"/>
          <w:color w:val="000000"/>
        </w:rPr>
        <w:t xml:space="preserve"> ≥ 0,50. </w:t>
      </w:r>
    </w:p>
    <w:p>
      <w:pPr>
        <w:spacing w:after="0" w:line="240" w:lineRule="auto"/>
        <w:ind w:firstLine="426"/>
        <w:jc w:val="both"/>
        <w:rPr>
          <w:rFonts w:ascii="Arial" w:hAnsi="Arial" w:cs="Arial"/>
          <w:color w:val="000000"/>
        </w:rPr>
      </w:pPr>
      <w:r>
        <w:rPr>
          <w:rFonts w:ascii="Arial" w:hAnsi="Arial" w:cs="Arial"/>
          <w:color w:val="000000"/>
        </w:rPr>
        <w:t xml:space="preserve">Dapat disimpulkan, bahwa uji penilaian </w:t>
      </w:r>
      <w:r>
        <w:rPr>
          <w:rFonts w:ascii="Arial" w:hAnsi="Arial" w:cs="Arial"/>
          <w:i/>
          <w:color w:val="000000"/>
        </w:rPr>
        <w:t>goodness-of-fit</w:t>
      </w:r>
      <w:r>
        <w:rPr>
          <w:rFonts w:ascii="Arial" w:hAnsi="Arial" w:cs="Arial"/>
          <w:color w:val="000000"/>
        </w:rPr>
        <w:t xml:space="preserve"> telah memenuhi kriteria </w:t>
      </w:r>
      <w:r>
        <w:rPr>
          <w:rFonts w:ascii="Arial" w:hAnsi="Arial" w:cs="Arial"/>
          <w:i/>
          <w:color w:val="000000"/>
        </w:rPr>
        <w:t xml:space="preserve">fit </w:t>
      </w:r>
      <w:r>
        <w:rPr>
          <w:rFonts w:ascii="Arial" w:hAnsi="Arial" w:cs="Arial"/>
          <w:color w:val="000000"/>
        </w:rPr>
        <w:t xml:space="preserve">yang ditentukan. Oleh karena itu, model layak diuji pada tahap </w:t>
      </w:r>
      <w:r>
        <w:rPr>
          <w:rFonts w:ascii="Arial" w:hAnsi="Arial" w:cs="Arial"/>
          <w:i/>
          <w:color w:val="000000"/>
        </w:rPr>
        <w:t>full model</w:t>
      </w:r>
      <w:r>
        <w:rPr>
          <w:rFonts w:ascii="Arial" w:hAnsi="Arial" w:cs="Arial"/>
          <w:color w:val="000000"/>
        </w:rPr>
        <w:t>.</w:t>
      </w:r>
    </w:p>
    <w:p>
      <w:pPr>
        <w:pStyle w:val="12"/>
        <w:spacing w:before="240" w:after="0" w:line="240" w:lineRule="auto"/>
        <w:ind w:left="0"/>
        <w:jc w:val="both"/>
        <w:rPr>
          <w:rFonts w:ascii="Arial" w:hAnsi="Arial" w:cs="Arial"/>
          <w:b/>
          <w:color w:val="000000"/>
        </w:rPr>
      </w:pPr>
      <w:r>
        <w:rPr>
          <w:rFonts w:ascii="Arial" w:hAnsi="Arial" w:cs="Arial"/>
          <w:b/>
          <w:color w:val="000000"/>
        </w:rPr>
        <w:t>Konstruk Endogen Kepuasan Nasabah</w:t>
      </w:r>
    </w:p>
    <w:p>
      <w:pPr>
        <w:pStyle w:val="12"/>
        <w:spacing w:after="0" w:line="240" w:lineRule="auto"/>
        <w:ind w:left="0" w:firstLine="426"/>
        <w:jc w:val="both"/>
        <w:rPr>
          <w:rFonts w:ascii="Arial" w:hAnsi="Arial" w:cs="Arial"/>
          <w:color w:val="000000"/>
        </w:rPr>
      </w:pPr>
      <w:r>
        <w:rPr>
          <w:rFonts w:ascii="Arial" w:hAnsi="Arial" w:cs="Arial"/>
          <w:color w:val="000000"/>
        </w:rPr>
        <w:t>Konstruk endogen kepuasan nasabah dapat dilihat pada Gambar 6.</w:t>
      </w:r>
    </w:p>
    <w:p>
      <w:pPr>
        <w:pStyle w:val="12"/>
        <w:spacing w:after="0" w:line="240" w:lineRule="auto"/>
        <w:ind w:left="0"/>
        <w:rPr>
          <w:rFonts w:ascii="Arial" w:hAnsi="Arial" w:cs="Arial"/>
          <w:color w:val="000000"/>
        </w:rPr>
      </w:pPr>
    </w:p>
    <w:p>
      <w:pPr>
        <w:pStyle w:val="12"/>
        <w:spacing w:after="0" w:line="240" w:lineRule="auto"/>
        <w:ind w:left="0"/>
        <w:rPr>
          <w:rFonts w:ascii="Arial" w:hAnsi="Arial" w:cs="Arial"/>
          <w:color w:val="000000"/>
        </w:rPr>
      </w:pPr>
    </w:p>
    <w:p>
      <w:pPr>
        <w:pStyle w:val="12"/>
        <w:spacing w:after="0" w:line="240" w:lineRule="auto"/>
        <w:ind w:left="0"/>
        <w:jc w:val="center"/>
        <w:rPr>
          <w:rFonts w:ascii="Arial" w:hAnsi="Arial" w:cs="Arial"/>
          <w:b/>
          <w:color w:val="000000"/>
        </w:rPr>
      </w:pPr>
      <w:r>
        <w:rPr>
          <w:rFonts w:ascii="Arial" w:hAnsi="Arial" w:cs="Arial"/>
          <w:b/>
          <w:color w:val="000000"/>
        </w:rPr>
        <w:t>Gambar 6.: Konstruk Endogen Kepuasan Nasabah</w:t>
      </w:r>
    </w:p>
    <w:p>
      <w:pPr>
        <w:pStyle w:val="12"/>
        <w:spacing w:after="0" w:line="240" w:lineRule="auto"/>
        <w:ind w:left="0"/>
        <w:rPr>
          <w:rFonts w:ascii="Arial" w:hAnsi="Arial" w:cs="Arial"/>
          <w:color w:val="000000"/>
        </w:rPr>
      </w:pPr>
      <w:r>
        <w:rPr>
          <w:rFonts w:ascii="Arial" w:hAnsi="Arial" w:eastAsia="Calibri" w:cs="Arial"/>
          <w:color w:val="000000"/>
          <w:sz w:val="22"/>
          <w:szCs w:val="22"/>
          <w:lang w:val="en-US" w:eastAsia="en-US" w:bidi="ar-SA"/>
        </w:rPr>
        <w:pict>
          <v:shape id="Picture 13" o:spid="_x0000_s1033" type="#_x0000_t75" style="position:absolute;left:0;margin-left:4.05pt;margin-top:3.75pt;height:180.45pt;width:194.5pt;rotation:0f;z-index:251674624;" o:ole="f" fillcolor="#FFFFFF" filled="f" o:preferrelative="t" stroked="t" coordorigin="0,0" coordsize="21600,21600">
            <v:fill on="f" color2="#FFFFFF" focus="0%"/>
            <v:stroke weight="3pt" color="#000000" color2="#FFFFFF" miterlimit="2"/>
            <v:imagedata cropleft="15028f" croptop="25455f" cropright="14501f" cropbottom="3324f" gain="65536f" blacklevel="0f" gamma="0" o:title="" r:id="rId12"/>
            <o:lock v:ext="edit" position="f" selection="f" grouping="f" rotation="f" cropping="f" text="f" aspectratio="t"/>
          </v:shape>
        </w:pict>
      </w:r>
    </w:p>
    <w:p>
      <w:pPr>
        <w:pStyle w:val="12"/>
        <w:spacing w:after="0" w:line="240" w:lineRule="auto"/>
        <w:ind w:left="0"/>
        <w:rPr>
          <w:rFonts w:ascii="Arial" w:hAnsi="Arial" w:cs="Arial"/>
          <w:color w:val="000000"/>
        </w:rPr>
      </w:pPr>
    </w:p>
    <w:p>
      <w:pPr>
        <w:pStyle w:val="12"/>
        <w:spacing w:after="0" w:line="240" w:lineRule="auto"/>
        <w:ind w:left="0"/>
        <w:rPr>
          <w:rFonts w:ascii="Arial" w:hAnsi="Arial" w:cs="Arial"/>
          <w:color w:val="000000"/>
        </w:rPr>
      </w:pPr>
    </w:p>
    <w:p>
      <w:pPr>
        <w:pStyle w:val="12"/>
        <w:spacing w:after="0" w:line="240" w:lineRule="auto"/>
        <w:ind w:left="0"/>
        <w:rPr>
          <w:rFonts w:ascii="Arial" w:hAnsi="Arial" w:cs="Arial"/>
          <w:color w:val="000000"/>
        </w:rPr>
      </w:pPr>
    </w:p>
    <w:p>
      <w:pPr>
        <w:pStyle w:val="12"/>
        <w:spacing w:after="0" w:line="240" w:lineRule="auto"/>
        <w:ind w:left="0"/>
        <w:rPr>
          <w:rFonts w:ascii="Arial" w:hAnsi="Arial" w:cs="Arial"/>
          <w:color w:val="000000"/>
        </w:rPr>
      </w:pPr>
    </w:p>
    <w:p>
      <w:pPr>
        <w:pStyle w:val="12"/>
        <w:spacing w:after="0" w:line="240" w:lineRule="auto"/>
        <w:ind w:left="0"/>
        <w:rPr>
          <w:rFonts w:ascii="Arial" w:hAnsi="Arial" w:cs="Arial"/>
          <w:color w:val="000000"/>
        </w:rPr>
      </w:pPr>
    </w:p>
    <w:p>
      <w:pPr>
        <w:pStyle w:val="12"/>
        <w:spacing w:after="0" w:line="240" w:lineRule="auto"/>
        <w:ind w:left="0"/>
        <w:rPr>
          <w:rFonts w:ascii="Arial" w:hAnsi="Arial" w:cs="Arial"/>
          <w:color w:val="000000"/>
        </w:rPr>
      </w:pPr>
    </w:p>
    <w:p>
      <w:pPr>
        <w:pStyle w:val="12"/>
        <w:spacing w:after="0" w:line="240" w:lineRule="auto"/>
        <w:ind w:left="0"/>
        <w:rPr>
          <w:rFonts w:ascii="Arial" w:hAnsi="Arial" w:cs="Arial"/>
          <w:color w:val="000000"/>
        </w:rPr>
      </w:pPr>
    </w:p>
    <w:p>
      <w:pPr>
        <w:pStyle w:val="12"/>
        <w:spacing w:after="0" w:line="240" w:lineRule="auto"/>
        <w:ind w:left="0"/>
        <w:rPr>
          <w:rFonts w:ascii="Arial" w:hAnsi="Arial" w:cs="Arial"/>
          <w:color w:val="000000"/>
        </w:rPr>
      </w:pPr>
    </w:p>
    <w:p>
      <w:pPr>
        <w:pStyle w:val="12"/>
        <w:spacing w:after="0" w:line="240" w:lineRule="auto"/>
        <w:ind w:left="0"/>
        <w:rPr>
          <w:rFonts w:ascii="Arial" w:hAnsi="Arial" w:cs="Arial"/>
          <w:color w:val="000000"/>
        </w:rPr>
      </w:pPr>
    </w:p>
    <w:p>
      <w:pPr>
        <w:pStyle w:val="12"/>
        <w:spacing w:after="0" w:line="240" w:lineRule="auto"/>
        <w:ind w:left="0"/>
        <w:rPr>
          <w:rFonts w:ascii="Arial" w:hAnsi="Arial" w:cs="Arial"/>
          <w:color w:val="000000"/>
        </w:rPr>
      </w:pPr>
    </w:p>
    <w:p>
      <w:pPr>
        <w:pStyle w:val="12"/>
        <w:spacing w:after="0" w:line="240" w:lineRule="auto"/>
        <w:ind w:left="0"/>
        <w:rPr>
          <w:rFonts w:ascii="Arial" w:hAnsi="Arial" w:cs="Arial"/>
          <w:color w:val="000000"/>
        </w:rPr>
      </w:pPr>
    </w:p>
    <w:p>
      <w:pPr>
        <w:pStyle w:val="12"/>
        <w:spacing w:after="0" w:line="240" w:lineRule="auto"/>
        <w:ind w:left="0"/>
        <w:rPr>
          <w:rFonts w:ascii="Arial" w:hAnsi="Arial" w:cs="Arial"/>
          <w:color w:val="000000"/>
        </w:rPr>
      </w:pPr>
    </w:p>
    <w:p>
      <w:pPr>
        <w:pStyle w:val="12"/>
        <w:spacing w:after="0" w:line="240" w:lineRule="auto"/>
        <w:ind w:left="0"/>
        <w:rPr>
          <w:rFonts w:ascii="Arial" w:hAnsi="Arial" w:cs="Arial"/>
          <w:color w:val="000000"/>
        </w:rPr>
      </w:pPr>
    </w:p>
    <w:p>
      <w:pPr>
        <w:pStyle w:val="12"/>
        <w:spacing w:after="0" w:line="240" w:lineRule="auto"/>
        <w:ind w:left="0"/>
        <w:rPr>
          <w:rFonts w:ascii="Arial" w:hAnsi="Arial" w:cs="Arial"/>
          <w:color w:val="000000"/>
        </w:rPr>
      </w:pPr>
    </w:p>
    <w:p>
      <w:pPr>
        <w:pStyle w:val="12"/>
        <w:spacing w:after="0" w:line="240" w:lineRule="auto"/>
        <w:ind w:left="0"/>
        <w:jc w:val="both"/>
        <w:rPr>
          <w:rFonts w:ascii="Arial" w:hAnsi="Arial" w:cs="Arial"/>
          <w:bCs/>
          <w:color w:val="000000"/>
        </w:rPr>
      </w:pPr>
      <w:r>
        <w:rPr>
          <w:rFonts w:ascii="Arial" w:hAnsi="Arial" w:cs="Arial"/>
          <w:bCs/>
          <w:color w:val="000000"/>
        </w:rPr>
        <w:t>Sumber: Data primer yang diolah.</w:t>
      </w:r>
    </w:p>
    <w:p>
      <w:pPr>
        <w:spacing w:before="240" w:after="0" w:line="240" w:lineRule="auto"/>
        <w:ind w:firstLine="426"/>
        <w:jc w:val="both"/>
        <w:rPr>
          <w:rFonts w:ascii="Arial" w:hAnsi="Arial" w:cs="Arial"/>
          <w:color w:val="000000"/>
        </w:rPr>
      </w:pPr>
      <w:r>
        <w:rPr>
          <w:rFonts w:ascii="Arial" w:hAnsi="Arial" w:cs="Arial"/>
          <w:color w:val="000000"/>
        </w:rPr>
        <w:t xml:space="preserve">Berdasarkan Gambar 6. dapat dilihat bahwa perhitungan nilai </w:t>
      </w:r>
      <w:r>
        <w:rPr>
          <w:rFonts w:ascii="Arial" w:hAnsi="Arial" w:cs="Arial"/>
          <w:i/>
          <w:color w:val="000000"/>
        </w:rPr>
        <w:t xml:space="preserve">chi-square </w:t>
      </w:r>
      <w:r>
        <w:rPr>
          <w:rFonts w:ascii="Arial" w:hAnsi="Arial" w:cs="Arial"/>
          <w:color w:val="000000"/>
        </w:rPr>
        <w:t>pada hasil uji konstruk endogen kepuasan nasabah</w:t>
      </w:r>
      <w:r>
        <w:rPr>
          <w:rFonts w:ascii="Arial" w:hAnsi="Arial" w:cs="Arial"/>
          <w:i/>
          <w:color w:val="000000"/>
        </w:rPr>
        <w:t xml:space="preserve"> </w:t>
      </w:r>
      <w:r>
        <w:rPr>
          <w:rFonts w:ascii="Arial" w:hAnsi="Arial" w:cs="Arial"/>
          <w:color w:val="000000"/>
        </w:rPr>
        <w:t xml:space="preserve">memperoleh nilai sebesar 0,791 yang menunjukkan lebih kecil dari </w:t>
      </w:r>
      <w:r>
        <w:rPr>
          <w:rFonts w:ascii="Arial" w:hAnsi="Arial" w:cs="Arial"/>
          <w:i/>
          <w:color w:val="000000"/>
        </w:rPr>
        <w:t xml:space="preserve">chi-square </w:t>
      </w:r>
      <w:r>
        <w:rPr>
          <w:rFonts w:ascii="Arial" w:hAnsi="Arial" w:cs="Arial"/>
          <w:color w:val="000000"/>
        </w:rPr>
        <w:t xml:space="preserve">tabel untuk derajat kebebasan 1 pada tingkat signifikan 5 % sebesar 3,841. Nilai probabilitas sebesar 0,374, nilai tersebut </w:t>
      </w:r>
      <w:r>
        <w:rPr>
          <w:rFonts w:ascii="Arial" w:hAnsi="Arial" w:eastAsia="Times New Roman" w:cs="Arial"/>
          <w:color w:val="000000"/>
          <w:lang/>
        </w:rPr>
        <w:t xml:space="preserve">&gt; </w:t>
      </w:r>
      <w:r>
        <w:rPr>
          <w:rFonts w:ascii="Arial" w:hAnsi="Arial" w:cs="Arial"/>
          <w:color w:val="000000"/>
        </w:rPr>
        <w:t xml:space="preserve">0,05. Nilai CMIN/DF sebesar 0,791 telah memenuhi kriteria </w:t>
      </w:r>
      <w:r>
        <w:rPr>
          <w:rFonts w:ascii="Arial" w:hAnsi="Arial" w:cs="Arial"/>
          <w:i/>
          <w:color w:val="000000"/>
        </w:rPr>
        <w:t>fit</w:t>
      </w:r>
      <w:r>
        <w:rPr>
          <w:rFonts w:ascii="Arial" w:hAnsi="Arial" w:cs="Arial"/>
          <w:color w:val="000000"/>
        </w:rPr>
        <w:t xml:space="preserve"> &lt; 2,00. Nilai GFI sebesar 0,998 telah mendekati nilai 1,0 yang merupakan nilai rekomendasinya. Nilai RMSEA sebesar 0,000, sehingga memenuhi kriteria </w:t>
      </w:r>
      <w:r>
        <w:rPr>
          <w:rFonts w:ascii="Arial" w:hAnsi="Arial" w:cs="Arial"/>
          <w:i/>
          <w:color w:val="000000"/>
        </w:rPr>
        <w:t xml:space="preserve">fit </w:t>
      </w:r>
      <w:r>
        <w:rPr>
          <w:rFonts w:ascii="Arial" w:hAnsi="Arial" w:cs="Arial"/>
          <w:color w:val="000000"/>
        </w:rPr>
        <w:t xml:space="preserve">≤ 0,08. Nilai AGFI sebesar 0,977 telah mendekati nilai 1,0. Nilai TLI sebesar 1,003 dan NFI 0,998, sehingga nilai TLI dan NFI memenuhi kriteria </w:t>
      </w:r>
      <w:r>
        <w:rPr>
          <w:rFonts w:ascii="Arial" w:hAnsi="Arial" w:cs="Arial"/>
          <w:i/>
          <w:color w:val="000000"/>
        </w:rPr>
        <w:t>fit</w:t>
      </w:r>
      <w:r>
        <w:rPr>
          <w:rFonts w:ascii="Arial" w:hAnsi="Arial" w:cs="Arial"/>
          <w:color w:val="000000"/>
        </w:rPr>
        <w:t xml:space="preserve"> ≥ 0,90. Sedangkan nilai PNFI sebesar 0,166 belum memenuhi kriteria </w:t>
      </w:r>
      <w:r>
        <w:rPr>
          <w:rFonts w:ascii="Arial" w:hAnsi="Arial" w:cs="Arial"/>
          <w:i/>
          <w:color w:val="000000"/>
        </w:rPr>
        <w:t>fit</w:t>
      </w:r>
      <w:r>
        <w:rPr>
          <w:rFonts w:ascii="Arial" w:hAnsi="Arial" w:cs="Arial"/>
          <w:color w:val="000000"/>
        </w:rPr>
        <w:t xml:space="preserve"> &gt; 0,50. Nilai PGFI sebesar 0,100, belum memenuhi kriteria </w:t>
      </w:r>
      <w:r>
        <w:rPr>
          <w:rFonts w:ascii="Arial" w:hAnsi="Arial" w:cs="Arial"/>
          <w:i/>
          <w:color w:val="000000"/>
        </w:rPr>
        <w:t>fit</w:t>
      </w:r>
      <w:r>
        <w:rPr>
          <w:rFonts w:ascii="Arial" w:hAnsi="Arial" w:cs="Arial"/>
          <w:color w:val="000000"/>
        </w:rPr>
        <w:t xml:space="preserve"> ≥ 0,50. </w:t>
      </w:r>
    </w:p>
    <w:p>
      <w:pPr>
        <w:spacing w:after="0" w:line="240" w:lineRule="auto"/>
        <w:ind w:firstLine="426"/>
        <w:jc w:val="both"/>
        <w:rPr>
          <w:rFonts w:ascii="Arial" w:hAnsi="Arial" w:cs="Arial"/>
          <w:color w:val="000000"/>
        </w:rPr>
      </w:pPr>
      <w:r>
        <w:rPr>
          <w:rFonts w:ascii="Arial" w:hAnsi="Arial" w:cs="Arial"/>
          <w:color w:val="000000"/>
        </w:rPr>
        <w:t xml:space="preserve">Dapat disimpulkan, bahwa uji penilaian </w:t>
      </w:r>
      <w:r>
        <w:rPr>
          <w:rFonts w:ascii="Arial" w:hAnsi="Arial" w:cs="Arial"/>
          <w:i/>
          <w:color w:val="000000"/>
        </w:rPr>
        <w:t>goodness-of-fit</w:t>
      </w:r>
      <w:r>
        <w:rPr>
          <w:rFonts w:ascii="Arial" w:hAnsi="Arial" w:cs="Arial"/>
          <w:color w:val="000000"/>
        </w:rPr>
        <w:t xml:space="preserve"> telah memenuhi kriteria </w:t>
      </w:r>
      <w:r>
        <w:rPr>
          <w:rFonts w:ascii="Arial" w:hAnsi="Arial" w:cs="Arial"/>
          <w:i/>
          <w:color w:val="000000"/>
        </w:rPr>
        <w:t xml:space="preserve">fit </w:t>
      </w:r>
      <w:r>
        <w:rPr>
          <w:rFonts w:ascii="Arial" w:hAnsi="Arial" w:cs="Arial"/>
          <w:color w:val="000000"/>
        </w:rPr>
        <w:t xml:space="preserve">yang ditentukan. Oleh karena itu, model layak diuji pada tahap </w:t>
      </w:r>
      <w:r>
        <w:rPr>
          <w:rFonts w:ascii="Arial" w:hAnsi="Arial" w:cs="Arial"/>
          <w:i/>
          <w:color w:val="000000"/>
        </w:rPr>
        <w:t>full model</w:t>
      </w:r>
      <w:r>
        <w:rPr>
          <w:rFonts w:ascii="Arial" w:hAnsi="Arial" w:cs="Arial"/>
          <w:color w:val="000000"/>
        </w:rPr>
        <w:t>.</w:t>
      </w:r>
    </w:p>
    <w:p>
      <w:pPr>
        <w:pStyle w:val="12"/>
        <w:spacing w:before="240" w:after="0" w:line="240" w:lineRule="auto"/>
        <w:ind w:left="0"/>
        <w:jc w:val="both"/>
        <w:rPr>
          <w:rFonts w:ascii="Arial" w:hAnsi="Arial" w:cs="Arial"/>
          <w:b/>
          <w:color w:val="000000"/>
        </w:rPr>
      </w:pPr>
      <w:r>
        <w:rPr>
          <w:rFonts w:ascii="Arial" w:hAnsi="Arial" w:cs="Arial"/>
          <w:b/>
          <w:color w:val="000000"/>
        </w:rPr>
        <w:t xml:space="preserve">Konstruk Endogen </w:t>
      </w:r>
      <w:r>
        <w:rPr>
          <w:rFonts w:ascii="Arial" w:hAnsi="Arial" w:cs="Arial"/>
          <w:b/>
          <w:i/>
          <w:color w:val="000000"/>
        </w:rPr>
        <w:t>Customer Retention</w:t>
      </w:r>
    </w:p>
    <w:p>
      <w:pPr>
        <w:pStyle w:val="12"/>
        <w:spacing w:after="0" w:line="240" w:lineRule="auto"/>
        <w:ind w:left="0" w:firstLine="426"/>
        <w:jc w:val="both"/>
        <w:rPr>
          <w:rFonts w:ascii="Arial" w:hAnsi="Arial" w:cs="Arial"/>
          <w:color w:val="000000"/>
        </w:rPr>
      </w:pPr>
      <w:r>
        <w:rPr>
          <w:rFonts w:ascii="Arial" w:hAnsi="Arial" w:cs="Arial"/>
          <w:color w:val="000000"/>
        </w:rPr>
        <w:t xml:space="preserve">Konstruk endogen </w:t>
      </w:r>
      <w:r>
        <w:rPr>
          <w:rFonts w:ascii="Arial" w:hAnsi="Arial" w:cs="Arial"/>
          <w:i/>
          <w:color w:val="000000"/>
        </w:rPr>
        <w:t>customer retention</w:t>
      </w:r>
      <w:r>
        <w:rPr>
          <w:rFonts w:ascii="Arial" w:hAnsi="Arial" w:cs="Arial"/>
          <w:color w:val="000000"/>
        </w:rPr>
        <w:t xml:space="preserve"> dapat dilihat pada Gambar 7.</w:t>
      </w:r>
    </w:p>
    <w:p>
      <w:pPr>
        <w:pStyle w:val="12"/>
        <w:spacing w:after="0" w:line="240" w:lineRule="auto"/>
        <w:ind w:left="0"/>
        <w:jc w:val="center"/>
        <w:rPr>
          <w:rFonts w:ascii="Arial" w:hAnsi="Arial" w:cs="Arial"/>
          <w:b/>
          <w:color w:val="000000"/>
        </w:rPr>
      </w:pPr>
    </w:p>
    <w:p>
      <w:pPr>
        <w:pStyle w:val="12"/>
        <w:spacing w:after="0" w:line="240" w:lineRule="auto"/>
        <w:ind w:left="0"/>
        <w:jc w:val="center"/>
        <w:rPr>
          <w:rFonts w:ascii="Arial" w:hAnsi="Arial" w:cs="Arial"/>
          <w:b/>
          <w:color w:val="000000"/>
        </w:rPr>
      </w:pPr>
      <w:r>
        <w:rPr>
          <w:rFonts w:ascii="Arial" w:hAnsi="Arial" w:cs="Arial"/>
          <w:b/>
          <w:color w:val="000000"/>
        </w:rPr>
        <w:t xml:space="preserve">Gambar 7.: Konstruk Endogen </w:t>
      </w:r>
      <w:r>
        <w:rPr>
          <w:rFonts w:ascii="Arial" w:hAnsi="Arial" w:cs="Arial"/>
          <w:b/>
          <w:i/>
          <w:color w:val="000000"/>
        </w:rPr>
        <w:t>Customer Retention</w:t>
      </w:r>
    </w:p>
    <w:p>
      <w:pPr>
        <w:pStyle w:val="12"/>
        <w:spacing w:after="0" w:line="240" w:lineRule="auto"/>
        <w:ind w:left="0"/>
        <w:rPr>
          <w:rFonts w:ascii="Arial" w:hAnsi="Arial" w:cs="Arial"/>
          <w:color w:val="000000"/>
        </w:rPr>
      </w:pPr>
      <w:r>
        <w:rPr>
          <w:rFonts w:ascii="Arial" w:hAnsi="Arial" w:eastAsia="Calibri" w:cs="Arial"/>
          <w:color w:val="000000"/>
          <w:sz w:val="22"/>
          <w:szCs w:val="22"/>
          <w:lang w:val="en-US" w:eastAsia="en-US" w:bidi="ar-SA"/>
        </w:rPr>
        <w:pict>
          <v:shape id="Picture 16" o:spid="_x0000_s1034" type="#_x0000_t75" style="position:absolute;left:0;margin-left:3.2pt;margin-top:3.25pt;height:180.45pt;width:195.9pt;rotation:0f;z-index:251675648;" o:ole="f" fillcolor="#FFFFFF" filled="f" o:preferrelative="t" stroked="t" coordorigin="0,0" coordsize="21600,21600">
            <v:fill on="f" color2="#FFFFFF" focus="0%"/>
            <v:stroke weight="3pt" color="#000000" color2="#FFFFFF" miterlimit="2"/>
            <v:imagedata cropleft="7410f" croptop="25360f" cropright="3932f" cropbottom="3894f" gain="65536f" blacklevel="0f" gamma="0" o:title="" r:id="rId13"/>
            <o:lock v:ext="edit" position="f" selection="f" grouping="f" rotation="f" cropping="f" text="f" aspectratio="t"/>
          </v:shape>
        </w:pict>
      </w:r>
    </w:p>
    <w:p>
      <w:pPr>
        <w:pStyle w:val="12"/>
        <w:spacing w:after="0" w:line="240" w:lineRule="auto"/>
        <w:ind w:left="0"/>
        <w:rPr>
          <w:rFonts w:ascii="Arial" w:hAnsi="Arial" w:cs="Arial"/>
          <w:color w:val="000000"/>
        </w:rPr>
      </w:pPr>
    </w:p>
    <w:p>
      <w:pPr>
        <w:pStyle w:val="12"/>
        <w:spacing w:after="0" w:line="240" w:lineRule="auto"/>
        <w:ind w:left="0"/>
        <w:rPr>
          <w:rFonts w:ascii="Arial" w:hAnsi="Arial" w:cs="Arial"/>
          <w:color w:val="000000"/>
        </w:rPr>
      </w:pPr>
    </w:p>
    <w:p>
      <w:pPr>
        <w:pStyle w:val="12"/>
        <w:spacing w:after="0" w:line="240" w:lineRule="auto"/>
        <w:ind w:left="0"/>
        <w:rPr>
          <w:rFonts w:ascii="Arial" w:hAnsi="Arial" w:cs="Arial"/>
          <w:color w:val="000000"/>
        </w:rPr>
      </w:pPr>
    </w:p>
    <w:p>
      <w:pPr>
        <w:pStyle w:val="12"/>
        <w:spacing w:after="0" w:line="240" w:lineRule="auto"/>
        <w:ind w:left="0"/>
        <w:rPr>
          <w:rFonts w:ascii="Arial" w:hAnsi="Arial" w:cs="Arial"/>
          <w:color w:val="000000"/>
        </w:rPr>
      </w:pPr>
    </w:p>
    <w:p>
      <w:pPr>
        <w:pStyle w:val="12"/>
        <w:spacing w:after="0" w:line="240" w:lineRule="auto"/>
        <w:ind w:left="0"/>
        <w:rPr>
          <w:rFonts w:ascii="Arial" w:hAnsi="Arial" w:cs="Arial"/>
          <w:color w:val="000000"/>
        </w:rPr>
      </w:pPr>
    </w:p>
    <w:p>
      <w:pPr>
        <w:pStyle w:val="12"/>
        <w:spacing w:after="0" w:line="240" w:lineRule="auto"/>
        <w:ind w:left="0"/>
        <w:rPr>
          <w:rFonts w:ascii="Arial" w:hAnsi="Arial" w:cs="Arial"/>
          <w:color w:val="000000"/>
        </w:rPr>
      </w:pPr>
    </w:p>
    <w:p>
      <w:pPr>
        <w:pStyle w:val="12"/>
        <w:spacing w:after="0" w:line="240" w:lineRule="auto"/>
        <w:ind w:left="0"/>
        <w:rPr>
          <w:rFonts w:ascii="Arial" w:hAnsi="Arial" w:cs="Arial"/>
          <w:color w:val="000000"/>
        </w:rPr>
      </w:pPr>
    </w:p>
    <w:p>
      <w:pPr>
        <w:pStyle w:val="12"/>
        <w:spacing w:after="0" w:line="240" w:lineRule="auto"/>
        <w:ind w:left="0"/>
        <w:rPr>
          <w:rFonts w:ascii="Arial" w:hAnsi="Arial" w:cs="Arial"/>
          <w:color w:val="000000"/>
        </w:rPr>
      </w:pPr>
    </w:p>
    <w:p>
      <w:pPr>
        <w:pStyle w:val="12"/>
        <w:spacing w:after="0" w:line="240" w:lineRule="auto"/>
        <w:ind w:left="0"/>
        <w:rPr>
          <w:rFonts w:ascii="Arial" w:hAnsi="Arial" w:cs="Arial"/>
          <w:color w:val="000000"/>
        </w:rPr>
      </w:pPr>
    </w:p>
    <w:p>
      <w:pPr>
        <w:pStyle w:val="12"/>
        <w:spacing w:after="0" w:line="240" w:lineRule="auto"/>
        <w:ind w:left="0"/>
        <w:rPr>
          <w:rFonts w:ascii="Arial" w:hAnsi="Arial" w:cs="Arial"/>
          <w:color w:val="000000"/>
        </w:rPr>
      </w:pPr>
    </w:p>
    <w:p>
      <w:pPr>
        <w:pStyle w:val="12"/>
        <w:spacing w:after="0" w:line="240" w:lineRule="auto"/>
        <w:ind w:left="0"/>
        <w:rPr>
          <w:rFonts w:ascii="Arial" w:hAnsi="Arial" w:cs="Arial"/>
          <w:color w:val="000000"/>
        </w:rPr>
      </w:pPr>
    </w:p>
    <w:p>
      <w:pPr>
        <w:pStyle w:val="12"/>
        <w:spacing w:after="0" w:line="240" w:lineRule="auto"/>
        <w:ind w:left="0"/>
        <w:rPr>
          <w:rFonts w:ascii="Arial" w:hAnsi="Arial" w:cs="Arial"/>
          <w:color w:val="000000"/>
        </w:rPr>
      </w:pPr>
    </w:p>
    <w:p>
      <w:pPr>
        <w:pStyle w:val="12"/>
        <w:spacing w:after="0" w:line="240" w:lineRule="auto"/>
        <w:ind w:left="0"/>
        <w:rPr>
          <w:rFonts w:ascii="Arial" w:hAnsi="Arial" w:cs="Arial"/>
          <w:color w:val="000000"/>
        </w:rPr>
      </w:pPr>
    </w:p>
    <w:p>
      <w:pPr>
        <w:pStyle w:val="12"/>
        <w:spacing w:after="0" w:line="240" w:lineRule="auto"/>
        <w:ind w:left="0"/>
        <w:rPr>
          <w:rFonts w:ascii="Arial" w:hAnsi="Arial" w:cs="Arial"/>
          <w:color w:val="000000"/>
        </w:rPr>
      </w:pPr>
    </w:p>
    <w:p>
      <w:pPr>
        <w:pStyle w:val="12"/>
        <w:spacing w:after="0" w:line="240" w:lineRule="auto"/>
        <w:ind w:left="0"/>
        <w:jc w:val="both"/>
        <w:rPr>
          <w:rFonts w:ascii="Arial" w:hAnsi="Arial" w:cs="Arial"/>
          <w:bCs/>
          <w:color w:val="000000"/>
        </w:rPr>
      </w:pPr>
      <w:r>
        <w:rPr>
          <w:rFonts w:ascii="Arial" w:hAnsi="Arial" w:cs="Arial"/>
          <w:bCs/>
          <w:color w:val="000000"/>
        </w:rPr>
        <w:t>Sumber: Data primer yang diolah.</w:t>
      </w:r>
    </w:p>
    <w:p>
      <w:pPr>
        <w:spacing w:before="240" w:after="0" w:line="240" w:lineRule="auto"/>
        <w:ind w:firstLine="426"/>
        <w:jc w:val="both"/>
        <w:rPr>
          <w:rFonts w:ascii="Arial" w:hAnsi="Arial" w:cs="Arial"/>
          <w:color w:val="000000"/>
        </w:rPr>
      </w:pPr>
      <w:r>
        <w:rPr>
          <w:rFonts w:ascii="Arial" w:hAnsi="Arial" w:cs="Arial"/>
          <w:color w:val="000000"/>
        </w:rPr>
        <w:t xml:space="preserve">Berdasarkan Gambar 7. dapat dilihat bahwa perhitungan nilai </w:t>
      </w:r>
      <w:r>
        <w:rPr>
          <w:rFonts w:ascii="Arial" w:hAnsi="Arial" w:cs="Arial"/>
          <w:i/>
          <w:color w:val="000000"/>
        </w:rPr>
        <w:t xml:space="preserve">chi-square </w:t>
      </w:r>
      <w:r>
        <w:rPr>
          <w:rFonts w:ascii="Arial" w:hAnsi="Arial" w:cs="Arial"/>
          <w:color w:val="000000"/>
        </w:rPr>
        <w:t xml:space="preserve">pada hasil uji konstruk endogen </w:t>
      </w:r>
      <w:r>
        <w:rPr>
          <w:rFonts w:ascii="Arial" w:hAnsi="Arial" w:cs="Arial"/>
          <w:i/>
          <w:color w:val="000000"/>
        </w:rPr>
        <w:t xml:space="preserve">customer retention </w:t>
      </w:r>
      <w:r>
        <w:rPr>
          <w:rFonts w:ascii="Arial" w:hAnsi="Arial" w:cs="Arial"/>
          <w:color w:val="000000"/>
        </w:rPr>
        <w:t xml:space="preserve">memperoleh nilai sebesar 0,052 yang menunjukkan lebih kecil dari </w:t>
      </w:r>
      <w:r>
        <w:rPr>
          <w:rFonts w:ascii="Arial" w:hAnsi="Arial" w:cs="Arial"/>
          <w:i/>
          <w:color w:val="000000"/>
        </w:rPr>
        <w:t xml:space="preserve">chi-square </w:t>
      </w:r>
      <w:r>
        <w:rPr>
          <w:rFonts w:ascii="Arial" w:hAnsi="Arial" w:cs="Arial"/>
          <w:color w:val="000000"/>
        </w:rPr>
        <w:t xml:space="preserve">tabel untuk derajat kebebasan 1 pada tingkat signifikan 5 % sebesar 3,841. Nilai probabilitas sebesar 0,820, nilai tersebut </w:t>
      </w:r>
      <w:r>
        <w:rPr>
          <w:rFonts w:ascii="Arial" w:hAnsi="Arial" w:eastAsia="Times New Roman" w:cs="Arial"/>
          <w:color w:val="000000"/>
          <w:lang/>
        </w:rPr>
        <w:t xml:space="preserve">&gt; </w:t>
      </w:r>
      <w:r>
        <w:rPr>
          <w:rFonts w:ascii="Arial" w:hAnsi="Arial" w:cs="Arial"/>
          <w:color w:val="000000"/>
        </w:rPr>
        <w:t xml:space="preserve">0,05. Nilai CMIN/DF sebesar 0,052 telah memenuhi kriteria </w:t>
      </w:r>
      <w:r>
        <w:rPr>
          <w:rFonts w:ascii="Arial" w:hAnsi="Arial" w:cs="Arial"/>
          <w:i/>
          <w:color w:val="000000"/>
        </w:rPr>
        <w:t>fit</w:t>
      </w:r>
      <w:r>
        <w:rPr>
          <w:rFonts w:ascii="Arial" w:hAnsi="Arial" w:cs="Arial"/>
          <w:color w:val="000000"/>
        </w:rPr>
        <w:t xml:space="preserve"> &lt; 2,00. Nilai GFI sebesar 1,000 telah mendekati nilai 1,0 yang merupakan nilai rekomendasinya. Nilai RMSEA sebesar 0,000, sehingga memenuhi kriteria </w:t>
      </w:r>
      <w:r>
        <w:rPr>
          <w:rFonts w:ascii="Arial" w:hAnsi="Arial" w:cs="Arial"/>
          <w:i/>
          <w:color w:val="000000"/>
        </w:rPr>
        <w:t xml:space="preserve">fit </w:t>
      </w:r>
      <w:r>
        <w:rPr>
          <w:rFonts w:ascii="Arial" w:hAnsi="Arial" w:cs="Arial"/>
          <w:color w:val="000000"/>
        </w:rPr>
        <w:t xml:space="preserve">≤ 0,08. Nilai AGFI sebesar 0,998 telah mendekati nilai 1,0. Nilai TLI sebesar 1,016 dan NFI 1,000, sehingga nilai TLI dan NFI memenuhi kriteria </w:t>
      </w:r>
      <w:r>
        <w:rPr>
          <w:rFonts w:ascii="Arial" w:hAnsi="Arial" w:cs="Arial"/>
          <w:i/>
          <w:color w:val="000000"/>
        </w:rPr>
        <w:t>fit</w:t>
      </w:r>
      <w:r>
        <w:rPr>
          <w:rFonts w:ascii="Arial" w:hAnsi="Arial" w:cs="Arial"/>
          <w:color w:val="000000"/>
        </w:rPr>
        <w:t xml:space="preserve"> ≥ 0,90. Sedangkan nilai PNFI sebesar 0,167 belum memenuhi kriteria </w:t>
      </w:r>
      <w:r>
        <w:rPr>
          <w:rFonts w:ascii="Arial" w:hAnsi="Arial" w:cs="Arial"/>
          <w:i/>
          <w:color w:val="000000"/>
        </w:rPr>
        <w:t>fit</w:t>
      </w:r>
      <w:r>
        <w:rPr>
          <w:rFonts w:ascii="Arial" w:hAnsi="Arial" w:cs="Arial"/>
          <w:color w:val="000000"/>
        </w:rPr>
        <w:t xml:space="preserve"> &gt; 0,50. Nilai PGFI sebesar 0,100, belum memenuhi kriteria </w:t>
      </w:r>
      <w:r>
        <w:rPr>
          <w:rFonts w:ascii="Arial" w:hAnsi="Arial" w:cs="Arial"/>
          <w:i/>
          <w:color w:val="000000"/>
        </w:rPr>
        <w:t>fit</w:t>
      </w:r>
      <w:r>
        <w:rPr>
          <w:rFonts w:ascii="Arial" w:hAnsi="Arial" w:cs="Arial"/>
          <w:color w:val="000000"/>
        </w:rPr>
        <w:t xml:space="preserve"> ≥ 0,50. </w:t>
      </w:r>
    </w:p>
    <w:p>
      <w:pPr>
        <w:spacing w:after="0" w:line="240" w:lineRule="auto"/>
        <w:ind w:firstLine="426"/>
        <w:jc w:val="both"/>
        <w:rPr>
          <w:rFonts w:ascii="Arial" w:hAnsi="Arial" w:cs="Arial"/>
          <w:color w:val="000000"/>
        </w:rPr>
      </w:pPr>
      <w:r>
        <w:rPr>
          <w:rFonts w:ascii="Arial" w:hAnsi="Arial" w:cs="Arial"/>
          <w:color w:val="000000"/>
        </w:rPr>
        <w:t xml:space="preserve">Dapat disimpulkan, bahwa uji penilaian </w:t>
      </w:r>
      <w:r>
        <w:rPr>
          <w:rFonts w:ascii="Arial" w:hAnsi="Arial" w:cs="Arial"/>
          <w:i/>
          <w:color w:val="000000"/>
        </w:rPr>
        <w:t>goodness-of-fit</w:t>
      </w:r>
      <w:r>
        <w:rPr>
          <w:rFonts w:ascii="Arial" w:hAnsi="Arial" w:cs="Arial"/>
          <w:color w:val="000000"/>
        </w:rPr>
        <w:t xml:space="preserve"> telah memenuhi kriteria </w:t>
      </w:r>
      <w:r>
        <w:rPr>
          <w:rFonts w:ascii="Arial" w:hAnsi="Arial" w:cs="Arial"/>
          <w:i/>
          <w:color w:val="000000"/>
        </w:rPr>
        <w:t xml:space="preserve">fit </w:t>
      </w:r>
      <w:r>
        <w:rPr>
          <w:rFonts w:ascii="Arial" w:hAnsi="Arial" w:cs="Arial"/>
          <w:color w:val="000000"/>
        </w:rPr>
        <w:t xml:space="preserve">yang ditentukan. Oleh karena itu, model layak diuji pada tahap </w:t>
      </w:r>
      <w:r>
        <w:rPr>
          <w:rFonts w:ascii="Arial" w:hAnsi="Arial" w:cs="Arial"/>
          <w:i/>
          <w:color w:val="000000"/>
        </w:rPr>
        <w:t>full model</w:t>
      </w:r>
      <w:r>
        <w:rPr>
          <w:rFonts w:ascii="Arial" w:hAnsi="Arial" w:cs="Arial"/>
          <w:color w:val="000000"/>
        </w:rPr>
        <w:t>.</w:t>
      </w:r>
    </w:p>
    <w:p>
      <w:pPr>
        <w:pStyle w:val="12"/>
        <w:spacing w:before="240" w:after="0" w:line="240" w:lineRule="auto"/>
        <w:ind w:left="0"/>
        <w:jc w:val="both"/>
        <w:rPr>
          <w:rFonts w:ascii="Arial" w:hAnsi="Arial" w:cs="Arial"/>
          <w:b/>
          <w:color w:val="000000"/>
        </w:rPr>
      </w:pPr>
      <w:r>
        <w:rPr>
          <w:rFonts w:ascii="Arial" w:hAnsi="Arial" w:cs="Arial"/>
          <w:b/>
          <w:color w:val="000000"/>
        </w:rPr>
        <w:t xml:space="preserve">Konstruk </w:t>
      </w:r>
      <w:r>
        <w:rPr>
          <w:rFonts w:ascii="Arial" w:hAnsi="Arial" w:cs="Arial"/>
          <w:b/>
          <w:i/>
          <w:color w:val="000000"/>
        </w:rPr>
        <w:t>Intervening</w:t>
      </w:r>
    </w:p>
    <w:p>
      <w:pPr>
        <w:pStyle w:val="12"/>
        <w:spacing w:after="0" w:line="240" w:lineRule="auto"/>
        <w:ind w:left="0" w:firstLine="426"/>
        <w:jc w:val="both"/>
        <w:rPr>
          <w:rFonts w:ascii="Arial" w:hAnsi="Arial" w:cs="Arial"/>
          <w:color w:val="000000"/>
        </w:rPr>
      </w:pPr>
      <w:r>
        <w:rPr>
          <w:rFonts w:ascii="Arial" w:hAnsi="Arial" w:cs="Arial"/>
          <w:color w:val="000000"/>
        </w:rPr>
        <w:t>Konstruk intervening dapat dilihat pada Gambar 8.</w:t>
      </w:r>
    </w:p>
    <w:p>
      <w:pPr>
        <w:pStyle w:val="12"/>
        <w:spacing w:after="0" w:line="240" w:lineRule="auto"/>
        <w:ind w:left="0"/>
        <w:jc w:val="both"/>
        <w:rPr>
          <w:rFonts w:ascii="Arial" w:hAnsi="Arial" w:cs="Arial"/>
          <w:color w:val="000000"/>
        </w:rPr>
      </w:pPr>
    </w:p>
    <w:p>
      <w:pPr>
        <w:pStyle w:val="12"/>
        <w:spacing w:after="0" w:line="240" w:lineRule="auto"/>
        <w:ind w:left="0"/>
        <w:jc w:val="both"/>
        <w:rPr>
          <w:rFonts w:ascii="Arial" w:hAnsi="Arial" w:cs="Arial"/>
          <w:color w:val="000000"/>
        </w:rPr>
        <w:sectPr>
          <w:type w:val="continuous"/>
          <w:pgSz w:w="11906" w:h="16838"/>
          <w:pgMar w:top="1701" w:right="1701" w:bottom="1701" w:left="1701" w:header="709" w:footer="587" w:gutter="0"/>
          <w:cols w:space="397" w:num="2"/>
          <w:docGrid w:linePitch="360" w:charSpace="0"/>
        </w:sectPr>
      </w:pPr>
    </w:p>
    <w:p>
      <w:pPr>
        <w:pStyle w:val="12"/>
        <w:spacing w:before="240" w:after="0" w:line="240" w:lineRule="auto"/>
        <w:ind w:left="0" w:firstLine="709"/>
        <w:jc w:val="both"/>
        <w:rPr>
          <w:rFonts w:ascii="Arial" w:hAnsi="Arial" w:cs="Arial"/>
          <w:color w:val="000000"/>
        </w:rPr>
      </w:pPr>
    </w:p>
    <w:p>
      <w:pPr>
        <w:pStyle w:val="12"/>
        <w:spacing w:after="0" w:line="240" w:lineRule="auto"/>
        <w:ind w:left="0"/>
        <w:jc w:val="center"/>
        <w:rPr>
          <w:rFonts w:ascii="Arial" w:hAnsi="Arial" w:cs="Arial"/>
          <w:b/>
          <w:color w:val="000000"/>
        </w:rPr>
      </w:pPr>
      <w:r>
        <w:rPr>
          <w:rFonts w:ascii="Arial" w:hAnsi="Arial" w:cs="Arial"/>
          <w:b/>
          <w:color w:val="000000"/>
        </w:rPr>
        <w:t xml:space="preserve">Gambar 8.: Konstruk </w:t>
      </w:r>
      <w:r>
        <w:rPr>
          <w:rFonts w:ascii="Arial" w:hAnsi="Arial" w:cs="Arial"/>
          <w:b/>
          <w:i/>
          <w:color w:val="000000"/>
        </w:rPr>
        <w:t>Intervening</w:t>
      </w:r>
    </w:p>
    <w:p>
      <w:pPr>
        <w:spacing w:line="240" w:lineRule="auto"/>
        <w:rPr>
          <w:rFonts w:ascii="Arial" w:hAnsi="Arial" w:cs="Arial"/>
          <w:color w:val="000000"/>
        </w:rPr>
      </w:pPr>
      <w:r>
        <w:rPr>
          <w:rFonts w:ascii="Arial" w:hAnsi="Arial" w:eastAsia="Calibri" w:cs="Arial"/>
          <w:color w:val="000000"/>
          <w:sz w:val="22"/>
          <w:szCs w:val="22"/>
          <w:lang w:val="en-US" w:eastAsia="en-US" w:bidi="ar-SA"/>
        </w:rPr>
        <w:pict>
          <v:shape id="Picture 19" o:spid="_x0000_s1035" type="#_x0000_t75" style="position:absolute;left:0;margin-left:8.4pt;margin-top:3.85pt;height:243.5pt;width:410.05pt;rotation:0f;z-index:251676672;" o:ole="f" fillcolor="#FFFFFF" filled="f" o:preferrelative="t" stroked="t" coordorigin="0,0" coordsize="21600,21600">
            <v:fill on="f" color2="#FFFFFF" focus="0%"/>
            <v:stroke weight="3pt" color="#000000" color2="#FFFFFF" miterlimit="2"/>
            <v:imagedata croptop="2097f" cropright="9832f" cropbottom="3474f" gain="65536f" blacklevel="0f" gamma="0" o:title="" r:id="rId14"/>
            <o:lock v:ext="edit" position="f" selection="f" grouping="f" rotation="f" cropping="f" text="f" aspectratio="t"/>
          </v:shape>
        </w:pict>
      </w:r>
    </w:p>
    <w:p>
      <w:pPr>
        <w:spacing w:line="240" w:lineRule="auto"/>
        <w:rPr>
          <w:rFonts w:ascii="Arial" w:hAnsi="Arial" w:cs="Arial"/>
          <w:color w:val="000000"/>
        </w:rPr>
      </w:pPr>
    </w:p>
    <w:p>
      <w:pPr>
        <w:spacing w:line="240" w:lineRule="auto"/>
        <w:rPr>
          <w:rFonts w:ascii="Arial" w:hAnsi="Arial" w:cs="Arial"/>
          <w:color w:val="000000"/>
        </w:rPr>
      </w:pPr>
    </w:p>
    <w:p>
      <w:pPr>
        <w:spacing w:line="240" w:lineRule="auto"/>
        <w:rPr>
          <w:rFonts w:ascii="Arial" w:hAnsi="Arial" w:cs="Arial"/>
          <w:color w:val="000000"/>
        </w:rPr>
      </w:pPr>
    </w:p>
    <w:p>
      <w:pPr>
        <w:spacing w:line="240" w:lineRule="auto"/>
        <w:rPr>
          <w:rFonts w:ascii="Arial" w:hAnsi="Arial" w:cs="Arial"/>
          <w:color w:val="000000"/>
        </w:rPr>
      </w:pPr>
    </w:p>
    <w:p>
      <w:pPr>
        <w:spacing w:line="240" w:lineRule="auto"/>
        <w:rPr>
          <w:rFonts w:ascii="Arial" w:hAnsi="Arial" w:cs="Arial"/>
          <w:color w:val="000000"/>
        </w:rPr>
      </w:pPr>
    </w:p>
    <w:p>
      <w:pPr>
        <w:spacing w:line="240" w:lineRule="auto"/>
        <w:rPr>
          <w:rFonts w:ascii="Arial" w:hAnsi="Arial" w:cs="Arial"/>
          <w:color w:val="000000"/>
        </w:rPr>
      </w:pPr>
    </w:p>
    <w:p>
      <w:pPr>
        <w:spacing w:line="240" w:lineRule="auto"/>
        <w:rPr>
          <w:rFonts w:ascii="Arial" w:hAnsi="Arial" w:cs="Arial"/>
          <w:color w:val="000000"/>
        </w:rPr>
      </w:pPr>
    </w:p>
    <w:p>
      <w:pPr>
        <w:spacing w:line="240" w:lineRule="auto"/>
        <w:rPr>
          <w:rFonts w:ascii="Arial" w:hAnsi="Arial" w:cs="Arial"/>
          <w:color w:val="000000"/>
        </w:rPr>
      </w:pPr>
    </w:p>
    <w:p>
      <w:pPr>
        <w:spacing w:line="240" w:lineRule="auto"/>
        <w:rPr>
          <w:rFonts w:ascii="Arial" w:hAnsi="Arial" w:cs="Arial"/>
          <w:color w:val="000000"/>
        </w:rPr>
      </w:pPr>
    </w:p>
    <w:p>
      <w:pPr>
        <w:spacing w:line="240" w:lineRule="auto"/>
        <w:rPr>
          <w:rFonts w:ascii="Arial" w:hAnsi="Arial" w:cs="Arial"/>
          <w:color w:val="000000"/>
        </w:rPr>
      </w:pPr>
    </w:p>
    <w:p>
      <w:pPr>
        <w:pStyle w:val="12"/>
        <w:spacing w:before="240" w:after="0" w:line="240" w:lineRule="auto"/>
        <w:ind w:left="0"/>
        <w:jc w:val="both"/>
        <w:rPr>
          <w:rFonts w:ascii="Arial" w:hAnsi="Arial" w:cs="Arial"/>
          <w:bCs/>
          <w:color w:val="000000"/>
        </w:rPr>
      </w:pPr>
      <w:r>
        <w:rPr>
          <w:rFonts w:ascii="Arial" w:hAnsi="Arial" w:cs="Arial"/>
          <w:b/>
          <w:color w:val="000000"/>
        </w:rPr>
        <w:t xml:space="preserve"> </w:t>
      </w:r>
      <w:r>
        <w:rPr>
          <w:rFonts w:ascii="Arial" w:hAnsi="Arial" w:cs="Arial"/>
          <w:bCs/>
          <w:color w:val="000000"/>
        </w:rPr>
        <w:t>Sumber: Data primer yang diolah.</w:t>
      </w:r>
    </w:p>
    <w:p>
      <w:pPr>
        <w:spacing w:after="0"/>
        <w:jc w:val="center"/>
        <w:rPr>
          <w:rFonts w:ascii="Arial" w:hAnsi="Arial" w:cs="Arial"/>
          <w:color w:val="000000"/>
        </w:rPr>
      </w:pPr>
    </w:p>
    <w:p>
      <w:pPr>
        <w:spacing w:after="0" w:line="240" w:lineRule="auto"/>
        <w:jc w:val="center"/>
        <w:rPr>
          <w:rFonts w:ascii="Arial" w:hAnsi="Arial" w:cs="Arial"/>
          <w:color w:val="000000"/>
        </w:rPr>
        <w:sectPr>
          <w:type w:val="continuous"/>
          <w:pgSz w:w="11906" w:h="16838"/>
          <w:pgMar w:top="1701" w:right="1701" w:bottom="1701" w:left="1701" w:header="709" w:footer="587" w:gutter="0"/>
          <w:cols w:space="708" w:num="1"/>
          <w:docGrid w:linePitch="360" w:charSpace="0"/>
        </w:sectPr>
      </w:pPr>
    </w:p>
    <w:p>
      <w:pPr>
        <w:spacing w:after="0" w:line="240" w:lineRule="auto"/>
        <w:ind w:firstLine="426"/>
        <w:jc w:val="both"/>
        <w:rPr>
          <w:rFonts w:ascii="Arial" w:hAnsi="Arial" w:cs="Arial"/>
          <w:color w:val="000000"/>
        </w:rPr>
      </w:pPr>
      <w:r>
        <w:rPr>
          <w:rFonts w:ascii="Arial" w:hAnsi="Arial" w:cs="Arial"/>
          <w:color w:val="000000"/>
        </w:rPr>
        <w:t xml:space="preserve">Berdasarkan Gambar 8. dapat dilihat bahwa perhitungan nilai </w:t>
      </w:r>
      <w:r>
        <w:rPr>
          <w:rFonts w:ascii="Arial" w:hAnsi="Arial" w:cs="Arial"/>
          <w:i/>
          <w:color w:val="000000"/>
        </w:rPr>
        <w:t xml:space="preserve">chi-square </w:t>
      </w:r>
      <w:r>
        <w:rPr>
          <w:rFonts w:ascii="Arial" w:hAnsi="Arial" w:cs="Arial"/>
          <w:color w:val="000000"/>
        </w:rPr>
        <w:t xml:space="preserve">pada hasil uji konstruk </w:t>
      </w:r>
      <w:r>
        <w:rPr>
          <w:rFonts w:ascii="Arial" w:hAnsi="Arial" w:cs="Arial"/>
          <w:i/>
          <w:color w:val="000000"/>
        </w:rPr>
        <w:t xml:space="preserve">intervening </w:t>
      </w:r>
      <w:r>
        <w:rPr>
          <w:rFonts w:ascii="Arial" w:hAnsi="Arial" w:cs="Arial"/>
          <w:color w:val="000000"/>
        </w:rPr>
        <w:t xml:space="preserve">memperoleh nilai sebesar 88,837 yang menunjukkan lebih kecil dari </w:t>
      </w:r>
      <w:r>
        <w:rPr>
          <w:rFonts w:ascii="Arial" w:hAnsi="Arial" w:cs="Arial"/>
          <w:i/>
          <w:color w:val="000000"/>
        </w:rPr>
        <w:t xml:space="preserve">chi-square </w:t>
      </w:r>
      <w:r>
        <w:rPr>
          <w:rFonts w:ascii="Arial" w:hAnsi="Arial" w:cs="Arial"/>
          <w:color w:val="000000"/>
        </w:rPr>
        <w:t xml:space="preserve">tabel untuk derajat kebebasan 72 pada tingkat signifikan 5 % sebesar 92,808. Nilai probabilitas sebesar 0,087, nilai tersebut </w:t>
      </w:r>
      <w:r>
        <w:rPr>
          <w:rFonts w:ascii="Arial" w:hAnsi="Arial" w:eastAsia="Times New Roman" w:cs="Arial"/>
          <w:color w:val="000000"/>
          <w:lang/>
        </w:rPr>
        <w:t xml:space="preserve">&gt; </w:t>
      </w:r>
      <w:r>
        <w:rPr>
          <w:rFonts w:ascii="Arial" w:hAnsi="Arial" w:cs="Arial"/>
          <w:color w:val="000000"/>
        </w:rPr>
        <w:t xml:space="preserve">0,05. Nilai CMIN/DF sebesar 1,234 telah memenuhi kriteria </w:t>
      </w:r>
      <w:r>
        <w:rPr>
          <w:rFonts w:ascii="Arial" w:hAnsi="Arial" w:cs="Arial"/>
          <w:i/>
          <w:color w:val="000000"/>
        </w:rPr>
        <w:t>fit</w:t>
      </w:r>
      <w:r>
        <w:rPr>
          <w:rFonts w:ascii="Arial" w:hAnsi="Arial" w:cs="Arial"/>
          <w:color w:val="000000"/>
        </w:rPr>
        <w:t xml:space="preserve"> &lt; 2,00. Nilai GFI sebesar 0,936 telah mendekati nilai 1,0 yang merupakan nilai rekomendasinya. Nilai RMSEA sebesar 0,037, sehingga memenuhi kriteria </w:t>
      </w:r>
      <w:r>
        <w:rPr>
          <w:rFonts w:ascii="Arial" w:hAnsi="Arial" w:cs="Arial"/>
          <w:i/>
          <w:color w:val="000000"/>
        </w:rPr>
        <w:t xml:space="preserve">fit </w:t>
      </w:r>
      <w:r>
        <w:rPr>
          <w:rFonts w:ascii="Arial" w:hAnsi="Arial" w:cs="Arial"/>
          <w:color w:val="000000"/>
        </w:rPr>
        <w:t xml:space="preserve">≤ 0,08. Nilai AGFI sebesar 0,894 telah mendekati nilai 1,0. Nilai TLI sebesar 0,983 dan NFI 0,943, sehingga nilai TLI dan NFI memenuhi kriteria </w:t>
      </w:r>
      <w:r>
        <w:rPr>
          <w:rFonts w:ascii="Arial" w:hAnsi="Arial" w:cs="Arial"/>
          <w:i/>
          <w:color w:val="000000"/>
        </w:rPr>
        <w:t>fit</w:t>
      </w:r>
      <w:r>
        <w:rPr>
          <w:rFonts w:ascii="Arial" w:hAnsi="Arial" w:cs="Arial"/>
          <w:color w:val="000000"/>
        </w:rPr>
        <w:t xml:space="preserve"> ≥ 0,90. Sedangkan nilai PNFI sebesar 0,647 telah memenuhi kriteria </w:t>
      </w:r>
      <w:r>
        <w:rPr>
          <w:rFonts w:ascii="Arial" w:hAnsi="Arial" w:cs="Arial"/>
          <w:i/>
          <w:color w:val="000000"/>
        </w:rPr>
        <w:t>fit</w:t>
      </w:r>
      <w:r>
        <w:rPr>
          <w:rFonts w:ascii="Arial" w:hAnsi="Arial" w:cs="Arial"/>
          <w:color w:val="000000"/>
        </w:rPr>
        <w:t xml:space="preserve"> &gt; 0,50. Nilai PGFI sebesar 0,562, telah memenuhi kriteria </w:t>
      </w:r>
      <w:r>
        <w:rPr>
          <w:rFonts w:ascii="Arial" w:hAnsi="Arial" w:cs="Arial"/>
          <w:i/>
          <w:color w:val="000000"/>
        </w:rPr>
        <w:t>fit</w:t>
      </w:r>
      <w:r>
        <w:rPr>
          <w:rFonts w:ascii="Arial" w:hAnsi="Arial" w:cs="Arial"/>
          <w:color w:val="000000"/>
        </w:rPr>
        <w:t xml:space="preserve"> ≥ 0,50. </w:t>
      </w:r>
    </w:p>
    <w:p>
      <w:pPr>
        <w:spacing w:after="0" w:line="240" w:lineRule="auto"/>
        <w:ind w:firstLine="426"/>
        <w:jc w:val="both"/>
        <w:rPr>
          <w:rFonts w:ascii="Arial" w:hAnsi="Arial" w:cs="Arial"/>
          <w:color w:val="000000"/>
        </w:rPr>
      </w:pPr>
      <w:r>
        <w:rPr>
          <w:rFonts w:ascii="Arial" w:hAnsi="Arial" w:cs="Arial"/>
          <w:color w:val="000000"/>
        </w:rPr>
        <w:t xml:space="preserve">Dapat disimpulkan, bahwa uji penilaian </w:t>
      </w:r>
      <w:r>
        <w:rPr>
          <w:rFonts w:ascii="Arial" w:hAnsi="Arial" w:cs="Arial"/>
          <w:i/>
          <w:color w:val="000000"/>
        </w:rPr>
        <w:t>goodness-of-fit</w:t>
      </w:r>
      <w:r>
        <w:rPr>
          <w:rFonts w:ascii="Arial" w:hAnsi="Arial" w:cs="Arial"/>
          <w:color w:val="000000"/>
        </w:rPr>
        <w:t xml:space="preserve"> telah memenuhi kriteria </w:t>
      </w:r>
      <w:r>
        <w:rPr>
          <w:rFonts w:ascii="Arial" w:hAnsi="Arial" w:cs="Arial"/>
          <w:i/>
          <w:color w:val="000000"/>
        </w:rPr>
        <w:t xml:space="preserve">fit </w:t>
      </w:r>
      <w:r>
        <w:rPr>
          <w:rFonts w:ascii="Arial" w:hAnsi="Arial" w:cs="Arial"/>
          <w:color w:val="000000"/>
        </w:rPr>
        <w:t xml:space="preserve">yang ditentukan. Oleh karena itu, model layak diuji pada tahap </w:t>
      </w:r>
      <w:r>
        <w:rPr>
          <w:rFonts w:ascii="Arial" w:hAnsi="Arial" w:cs="Arial"/>
          <w:i/>
          <w:color w:val="000000"/>
        </w:rPr>
        <w:t>full model</w:t>
      </w:r>
      <w:r>
        <w:rPr>
          <w:rFonts w:ascii="Arial" w:hAnsi="Arial" w:cs="Arial"/>
          <w:color w:val="000000"/>
        </w:rPr>
        <w:t>.</w:t>
      </w:r>
    </w:p>
    <w:p>
      <w:pPr>
        <w:pStyle w:val="12"/>
        <w:spacing w:before="240" w:after="0" w:line="240" w:lineRule="auto"/>
        <w:ind w:left="0"/>
        <w:jc w:val="both"/>
        <w:rPr>
          <w:rFonts w:ascii="Arial" w:hAnsi="Arial" w:cs="Arial"/>
          <w:b/>
          <w:i/>
          <w:color w:val="000000"/>
        </w:rPr>
      </w:pPr>
      <w:r>
        <w:rPr>
          <w:rFonts w:ascii="Arial" w:hAnsi="Arial" w:cs="Arial"/>
          <w:b/>
          <w:color w:val="000000"/>
        </w:rPr>
        <w:t xml:space="preserve">Estimasi </w:t>
      </w:r>
      <w:r>
        <w:rPr>
          <w:rFonts w:ascii="Arial" w:hAnsi="Arial" w:cs="Arial"/>
          <w:b/>
          <w:i/>
          <w:color w:val="000000"/>
        </w:rPr>
        <w:t>Structural Equation Model</w:t>
      </w:r>
    </w:p>
    <w:p>
      <w:pPr>
        <w:pStyle w:val="12"/>
        <w:spacing w:after="0" w:line="240" w:lineRule="auto"/>
        <w:ind w:left="0" w:firstLine="426"/>
        <w:jc w:val="both"/>
        <w:rPr>
          <w:rFonts w:ascii="Arial" w:hAnsi="Arial" w:cs="Arial"/>
          <w:color w:val="000000"/>
        </w:rPr>
      </w:pPr>
      <w:r>
        <w:rPr>
          <w:rFonts w:ascii="Arial" w:hAnsi="Arial" w:cs="Arial"/>
          <w:color w:val="000000"/>
        </w:rPr>
        <w:t xml:space="preserve">Estimasi </w:t>
      </w:r>
      <w:r>
        <w:rPr>
          <w:rFonts w:ascii="Arial" w:hAnsi="Arial" w:cs="Arial"/>
          <w:i/>
          <w:color w:val="000000"/>
        </w:rPr>
        <w:t xml:space="preserve">Structural Equation Model </w:t>
      </w:r>
      <w:r>
        <w:rPr>
          <w:rFonts w:ascii="Arial" w:hAnsi="Arial" w:cs="Arial"/>
          <w:color w:val="000000"/>
        </w:rPr>
        <w:t xml:space="preserve">melalui analisis </w:t>
      </w:r>
      <w:r>
        <w:rPr>
          <w:rFonts w:ascii="Arial" w:hAnsi="Arial" w:cs="Arial"/>
          <w:i/>
          <w:iCs/>
          <w:color w:val="000000"/>
        </w:rPr>
        <w:t>f</w:t>
      </w:r>
      <w:r>
        <w:rPr>
          <w:rFonts w:ascii="Arial" w:hAnsi="Arial" w:cs="Arial"/>
          <w:i/>
          <w:color w:val="000000"/>
        </w:rPr>
        <w:t xml:space="preserve">ull model </w:t>
      </w:r>
      <w:r>
        <w:rPr>
          <w:rFonts w:ascii="Arial" w:hAnsi="Arial" w:cs="Arial"/>
          <w:iCs/>
          <w:color w:val="000000"/>
        </w:rPr>
        <w:t xml:space="preserve">dilakukan </w:t>
      </w:r>
      <w:r>
        <w:rPr>
          <w:rFonts w:ascii="Arial" w:hAnsi="Arial" w:cs="Arial"/>
          <w:color w:val="000000"/>
        </w:rPr>
        <w:t xml:space="preserve">untuk melihat kesesuaian model dan hubungan kausalitas yang dibangun dalam model. Analisis </w:t>
      </w:r>
      <w:r>
        <w:rPr>
          <w:rFonts w:ascii="Arial" w:hAnsi="Arial" w:cs="Arial"/>
          <w:i/>
          <w:color w:val="000000"/>
        </w:rPr>
        <w:t xml:space="preserve">Structural Equation Model </w:t>
      </w:r>
      <w:r>
        <w:rPr>
          <w:rFonts w:ascii="Arial" w:hAnsi="Arial" w:cs="Arial"/>
          <w:color w:val="000000"/>
        </w:rPr>
        <w:t xml:space="preserve">(SEM) secara </w:t>
      </w:r>
      <w:r>
        <w:rPr>
          <w:rFonts w:ascii="Arial" w:hAnsi="Arial" w:cs="Arial"/>
          <w:i/>
          <w:color w:val="000000"/>
        </w:rPr>
        <w:t xml:space="preserve">full model </w:t>
      </w:r>
      <w:r>
        <w:rPr>
          <w:rFonts w:ascii="Arial" w:hAnsi="Arial" w:cs="Arial"/>
          <w:color w:val="000000"/>
        </w:rPr>
        <w:t xml:space="preserve">yang dimaksudkan untuk menguji model dan hipotesis yang dikembangkan dalam penelitian ini. Estimasi </w:t>
      </w:r>
      <w:r>
        <w:rPr>
          <w:rFonts w:ascii="Arial" w:hAnsi="Arial" w:cs="Arial"/>
          <w:i/>
          <w:color w:val="000000"/>
        </w:rPr>
        <w:t xml:space="preserve">full model </w:t>
      </w:r>
      <w:r>
        <w:rPr>
          <w:rFonts w:ascii="Arial" w:hAnsi="Arial" w:cs="Arial"/>
          <w:color w:val="000000"/>
        </w:rPr>
        <w:t>dapat dilihat pada Gambar 9.</w:t>
      </w:r>
    </w:p>
    <w:p>
      <w:pPr>
        <w:spacing w:after="0" w:line="240" w:lineRule="auto"/>
        <w:ind w:firstLine="426"/>
        <w:jc w:val="both"/>
        <w:rPr>
          <w:rFonts w:ascii="Arial" w:hAnsi="Arial" w:cs="Arial"/>
          <w:color w:val="000000"/>
        </w:rPr>
      </w:pPr>
    </w:p>
    <w:p>
      <w:pPr>
        <w:spacing w:after="0" w:line="240" w:lineRule="auto"/>
        <w:ind w:firstLine="426"/>
        <w:jc w:val="both"/>
        <w:rPr>
          <w:rFonts w:ascii="Arial" w:hAnsi="Arial" w:cs="Arial"/>
          <w:color w:val="000000"/>
        </w:rPr>
      </w:pPr>
    </w:p>
    <w:p>
      <w:pPr>
        <w:spacing w:after="0" w:line="240" w:lineRule="auto"/>
        <w:ind w:firstLine="709"/>
        <w:jc w:val="both"/>
        <w:rPr>
          <w:rFonts w:ascii="Arial" w:hAnsi="Arial" w:cs="Arial"/>
          <w:color w:val="000000"/>
        </w:rPr>
      </w:pPr>
    </w:p>
    <w:p>
      <w:pPr>
        <w:spacing w:after="0" w:line="240" w:lineRule="auto"/>
        <w:ind w:firstLine="709"/>
        <w:jc w:val="both"/>
        <w:rPr>
          <w:rFonts w:ascii="Arial" w:hAnsi="Arial" w:cs="Arial"/>
          <w:color w:val="000000"/>
        </w:rPr>
      </w:pPr>
    </w:p>
    <w:p>
      <w:pPr>
        <w:spacing w:after="0" w:line="240" w:lineRule="auto"/>
        <w:ind w:firstLine="709"/>
        <w:jc w:val="both"/>
        <w:rPr>
          <w:rFonts w:ascii="Arial" w:hAnsi="Arial" w:cs="Arial"/>
          <w:color w:val="000000"/>
        </w:rPr>
      </w:pPr>
    </w:p>
    <w:p>
      <w:pPr>
        <w:spacing w:after="0" w:line="240" w:lineRule="auto"/>
        <w:ind w:firstLine="709"/>
        <w:jc w:val="both"/>
        <w:rPr>
          <w:rFonts w:ascii="Arial" w:hAnsi="Arial" w:cs="Arial"/>
          <w:color w:val="000000"/>
        </w:rPr>
        <w:sectPr>
          <w:type w:val="continuous"/>
          <w:pgSz w:w="11906" w:h="16838"/>
          <w:pgMar w:top="1701" w:right="1701" w:bottom="1701" w:left="1701" w:header="709" w:footer="587" w:gutter="0"/>
          <w:cols w:space="397" w:num="2"/>
          <w:docGrid w:linePitch="360" w:charSpace="0"/>
        </w:sectPr>
      </w:pPr>
    </w:p>
    <w:p>
      <w:pPr>
        <w:pStyle w:val="12"/>
        <w:spacing w:after="0" w:line="240" w:lineRule="auto"/>
        <w:ind w:left="0"/>
        <w:jc w:val="center"/>
        <w:rPr>
          <w:rFonts w:ascii="Arial" w:hAnsi="Arial" w:cs="Arial"/>
          <w:b/>
          <w:color w:val="000000"/>
        </w:rPr>
      </w:pPr>
    </w:p>
    <w:p>
      <w:pPr>
        <w:pStyle w:val="12"/>
        <w:spacing w:after="0" w:line="240" w:lineRule="auto"/>
        <w:ind w:left="0"/>
        <w:jc w:val="center"/>
        <w:rPr>
          <w:rFonts w:ascii="Arial" w:hAnsi="Arial" w:cs="Arial"/>
          <w:b/>
          <w:bCs/>
          <w:i/>
          <w:iCs/>
          <w:color w:val="000000"/>
        </w:rPr>
      </w:pPr>
      <w:r>
        <w:rPr>
          <w:rFonts w:ascii="Arial" w:hAnsi="Arial" w:cs="Arial"/>
          <w:b/>
          <w:color w:val="000000"/>
        </w:rPr>
        <w:t xml:space="preserve">Gambar 9.: </w:t>
      </w:r>
      <w:r>
        <w:rPr>
          <w:rFonts w:ascii="Arial" w:hAnsi="Arial" w:cs="Arial"/>
          <w:b/>
          <w:bCs/>
          <w:color w:val="000000"/>
        </w:rPr>
        <w:t xml:space="preserve">Analisis Faktor Konfirmatori </w:t>
      </w:r>
      <w:r>
        <w:rPr>
          <w:rFonts w:ascii="Arial" w:hAnsi="Arial" w:cs="Arial"/>
          <w:b/>
          <w:bCs/>
          <w:i/>
          <w:iCs/>
          <w:color w:val="000000"/>
        </w:rPr>
        <w:t>Full Model</w:t>
      </w:r>
    </w:p>
    <w:p>
      <w:pPr>
        <w:pStyle w:val="12"/>
        <w:spacing w:after="0" w:line="240" w:lineRule="auto"/>
        <w:ind w:left="0"/>
        <w:jc w:val="center"/>
        <w:rPr>
          <w:rFonts w:ascii="Arial" w:hAnsi="Arial" w:cs="Arial"/>
          <w:b/>
          <w:color w:val="000000"/>
        </w:rPr>
      </w:pPr>
      <w:r>
        <w:rPr>
          <w:rFonts w:ascii="Arial" w:hAnsi="Arial" w:eastAsia="Calibri" w:cs="Arial"/>
          <w:b/>
          <w:bCs/>
          <w:i/>
          <w:iCs/>
          <w:color w:val="000000"/>
          <w:sz w:val="22"/>
          <w:szCs w:val="22"/>
          <w:lang w:val="en-US" w:eastAsia="en-US" w:bidi="ar-SA"/>
        </w:rPr>
        <w:pict>
          <v:shape id="Picture 25" o:spid="_x0000_s1036" type="#_x0000_t75" style="position:absolute;left:0;margin-left:3.15pt;margin-top:4.5pt;height:202.1pt;width:417.1pt;rotation:0f;z-index:251677696;" o:ole="f" fillcolor="#FFFFFF" filled="f" o:preferrelative="t" stroked="t" coordorigin="0,0" coordsize="21600,21600">
            <v:fill on="f" color2="#FFFFFF" focus="0%"/>
            <v:stroke weight="3pt" color="#000000" color2="#FFFFFF" miterlimit="2"/>
            <v:imagedata cropleft="6668f" croptop="6084f" cropright="5162f" gain="65536f" blacklevel="0f" gamma="0" o:title="" r:id="rId15"/>
            <o:lock v:ext="edit" position="f" selection="f" grouping="f" rotation="f" cropping="f" text="f" aspectratio="t"/>
          </v:shape>
        </w:pict>
      </w:r>
    </w:p>
    <w:p>
      <w:pPr>
        <w:jc w:val="center"/>
        <w:rPr>
          <w:rFonts w:ascii="Arial" w:hAnsi="Arial" w:cs="Arial"/>
          <w:color w:val="000000"/>
        </w:rPr>
      </w:pPr>
    </w:p>
    <w:p>
      <w:pPr>
        <w:jc w:val="center"/>
        <w:rPr>
          <w:rFonts w:ascii="Arial" w:hAnsi="Arial" w:cs="Arial"/>
          <w:color w:val="000000"/>
        </w:rPr>
      </w:pPr>
    </w:p>
    <w:p>
      <w:pPr>
        <w:jc w:val="center"/>
        <w:rPr>
          <w:rFonts w:ascii="Arial" w:hAnsi="Arial" w:cs="Arial"/>
          <w:color w:val="000000"/>
        </w:rPr>
      </w:pPr>
    </w:p>
    <w:p>
      <w:pPr>
        <w:jc w:val="center"/>
        <w:rPr>
          <w:rFonts w:ascii="Arial" w:hAnsi="Arial" w:cs="Arial"/>
          <w:color w:val="000000"/>
        </w:rPr>
      </w:pPr>
    </w:p>
    <w:p>
      <w:pPr>
        <w:jc w:val="center"/>
        <w:rPr>
          <w:rFonts w:ascii="Arial" w:hAnsi="Arial" w:cs="Arial"/>
          <w:color w:val="000000"/>
        </w:rPr>
      </w:pPr>
    </w:p>
    <w:p>
      <w:pPr>
        <w:jc w:val="center"/>
        <w:rPr>
          <w:rFonts w:ascii="Arial" w:hAnsi="Arial" w:cs="Arial"/>
          <w:color w:val="000000"/>
        </w:rPr>
      </w:pPr>
    </w:p>
    <w:p>
      <w:pPr>
        <w:jc w:val="center"/>
        <w:rPr>
          <w:rFonts w:ascii="Arial" w:hAnsi="Arial" w:cs="Arial"/>
          <w:color w:val="000000"/>
        </w:rPr>
      </w:pPr>
    </w:p>
    <w:p>
      <w:pPr>
        <w:jc w:val="center"/>
        <w:rPr>
          <w:rFonts w:ascii="Arial" w:hAnsi="Arial" w:cs="Arial"/>
          <w:color w:val="000000"/>
        </w:rPr>
      </w:pPr>
    </w:p>
    <w:p>
      <w:pPr>
        <w:pStyle w:val="12"/>
        <w:spacing w:after="0" w:line="240" w:lineRule="auto"/>
        <w:ind w:left="0"/>
        <w:jc w:val="both"/>
        <w:rPr>
          <w:rFonts w:ascii="Arial" w:hAnsi="Arial" w:cs="Arial"/>
          <w:bCs/>
          <w:color w:val="000000"/>
        </w:rPr>
      </w:pPr>
      <w:r>
        <w:rPr>
          <w:rFonts w:ascii="Arial" w:hAnsi="Arial" w:cs="Arial"/>
          <w:bCs/>
          <w:color w:val="000000"/>
        </w:rPr>
        <w:t>Sumber: Data primer yang diolah.</w:t>
      </w:r>
    </w:p>
    <w:p>
      <w:pPr>
        <w:spacing w:after="0" w:line="240" w:lineRule="auto"/>
        <w:jc w:val="both"/>
        <w:rPr>
          <w:rFonts w:ascii="Arial" w:hAnsi="Arial" w:cs="Arial"/>
          <w:b/>
          <w:bCs/>
          <w:i/>
          <w:iCs/>
          <w:color w:val="000000"/>
        </w:rPr>
      </w:pPr>
    </w:p>
    <w:p>
      <w:pPr>
        <w:spacing w:after="0" w:line="240" w:lineRule="auto"/>
        <w:jc w:val="both"/>
        <w:rPr>
          <w:rFonts w:ascii="Arial" w:hAnsi="Arial" w:cs="Arial"/>
          <w:b/>
          <w:bCs/>
          <w:i/>
          <w:iCs/>
          <w:color w:val="000000"/>
        </w:rPr>
        <w:sectPr>
          <w:type w:val="continuous"/>
          <w:pgSz w:w="11906" w:h="16838"/>
          <w:pgMar w:top="1701" w:right="1701" w:bottom="1701" w:left="1701" w:header="709" w:footer="588" w:gutter="0"/>
          <w:cols w:space="708" w:num="1"/>
          <w:docGrid w:linePitch="360" w:charSpace="0"/>
        </w:sectPr>
      </w:pPr>
    </w:p>
    <w:p>
      <w:pPr>
        <w:spacing w:after="0" w:line="240" w:lineRule="auto"/>
        <w:ind w:firstLine="426"/>
        <w:jc w:val="both"/>
        <w:rPr>
          <w:rFonts w:ascii="Arial" w:hAnsi="Arial" w:cs="Arial"/>
          <w:color w:val="000000"/>
        </w:rPr>
      </w:pPr>
      <w:r>
        <w:rPr>
          <w:rFonts w:ascii="Arial" w:hAnsi="Arial" w:cs="Arial"/>
          <w:color w:val="000000"/>
        </w:rPr>
        <w:t xml:space="preserve">Berdasarkan Gambar 9. dapat dilihat bahwa perhitungan nilai </w:t>
      </w:r>
      <w:r>
        <w:rPr>
          <w:rFonts w:ascii="Arial" w:hAnsi="Arial" w:cs="Arial"/>
          <w:i/>
          <w:color w:val="000000"/>
        </w:rPr>
        <w:t xml:space="preserve">chi-square </w:t>
      </w:r>
      <w:r>
        <w:rPr>
          <w:rFonts w:ascii="Arial" w:hAnsi="Arial" w:cs="Arial"/>
          <w:color w:val="000000"/>
        </w:rPr>
        <w:t xml:space="preserve">pada hasil uji faktor konfirmatori </w:t>
      </w:r>
      <w:r>
        <w:rPr>
          <w:rFonts w:ascii="Arial" w:hAnsi="Arial" w:cs="Arial"/>
          <w:i/>
          <w:color w:val="000000"/>
        </w:rPr>
        <w:t xml:space="preserve">full model </w:t>
      </w:r>
      <w:r>
        <w:rPr>
          <w:rFonts w:ascii="Arial" w:hAnsi="Arial" w:cs="Arial"/>
          <w:color w:val="000000"/>
        </w:rPr>
        <w:t xml:space="preserve">memperoleh nilai sebesar 44,618 yang menunjukkan lebih kecil dari </w:t>
      </w:r>
      <w:r>
        <w:rPr>
          <w:rFonts w:ascii="Arial" w:hAnsi="Arial" w:cs="Arial"/>
          <w:i/>
          <w:color w:val="000000"/>
        </w:rPr>
        <w:t xml:space="preserve">chi-square </w:t>
      </w:r>
      <w:r>
        <w:rPr>
          <w:rFonts w:ascii="Arial" w:hAnsi="Arial" w:cs="Arial"/>
          <w:color w:val="000000"/>
        </w:rPr>
        <w:t xml:space="preserve">tabel untuk derajat kebebasan 35 pada tingkat signifikan 5 % sebesar 49,802. Nilai probabilitas sebesar 0,128, nilai tersebut </w:t>
      </w:r>
      <w:r>
        <w:rPr>
          <w:rFonts w:ascii="Arial" w:hAnsi="Arial" w:eastAsia="Times New Roman" w:cs="Arial"/>
          <w:color w:val="000000"/>
          <w:lang/>
        </w:rPr>
        <w:t xml:space="preserve">&gt; </w:t>
      </w:r>
      <w:r>
        <w:rPr>
          <w:rFonts w:ascii="Arial" w:hAnsi="Arial" w:cs="Arial"/>
          <w:color w:val="000000"/>
        </w:rPr>
        <w:t xml:space="preserve">0,05. Nilai CMIN/DF sebesar 1,275 telah memenuhi kriteria </w:t>
      </w:r>
      <w:r>
        <w:rPr>
          <w:rFonts w:ascii="Arial" w:hAnsi="Arial" w:cs="Arial"/>
          <w:i/>
          <w:color w:val="000000"/>
        </w:rPr>
        <w:t>fit</w:t>
      </w:r>
      <w:r>
        <w:rPr>
          <w:rFonts w:ascii="Arial" w:hAnsi="Arial" w:cs="Arial"/>
          <w:color w:val="000000"/>
        </w:rPr>
        <w:t xml:space="preserve"> &lt; 2,00. Nilai GFI sebesar 0,939 telah mendekati nilai 1,0 yang merupakan nilai rekomendasinya. Nilai RMSEA sebesar 0,048, sehingga memenuhi kriteria </w:t>
      </w:r>
      <w:r>
        <w:rPr>
          <w:rFonts w:ascii="Arial" w:hAnsi="Arial" w:cs="Arial"/>
          <w:i/>
          <w:color w:val="000000"/>
        </w:rPr>
        <w:t xml:space="preserve">fit </w:t>
      </w:r>
      <w:r>
        <w:rPr>
          <w:rFonts w:ascii="Arial" w:hAnsi="Arial" w:cs="Arial"/>
          <w:color w:val="000000"/>
        </w:rPr>
        <w:t xml:space="preserve">≤ 0,08. Nilai AGFI sebesar 0,865 telah mendekati nilai 1,0. Nilai TLI sebesar 0,978 dan NFI 0,950, sehingga nilai TLI dan NFI memenuhi kriteria </w:t>
      </w:r>
      <w:r>
        <w:rPr>
          <w:rFonts w:ascii="Arial" w:hAnsi="Arial" w:cs="Arial"/>
          <w:i/>
          <w:color w:val="000000"/>
        </w:rPr>
        <w:t>fit</w:t>
      </w:r>
      <w:r>
        <w:rPr>
          <w:rFonts w:ascii="Arial" w:hAnsi="Arial" w:cs="Arial"/>
          <w:color w:val="000000"/>
        </w:rPr>
        <w:t xml:space="preserve"> ≥ 0,90. Sedangkan nilai PNFI sebesar 0,504 telah memenuhi kriteria </w:t>
      </w:r>
      <w:r>
        <w:rPr>
          <w:rFonts w:ascii="Arial" w:hAnsi="Arial" w:cs="Arial"/>
          <w:i/>
          <w:color w:val="000000"/>
        </w:rPr>
        <w:t>fit</w:t>
      </w:r>
      <w:r>
        <w:rPr>
          <w:rFonts w:ascii="Arial" w:hAnsi="Arial" w:cs="Arial"/>
          <w:color w:val="000000"/>
        </w:rPr>
        <w:t xml:space="preserve"> &gt; 0,50. Nilai PGFI sebesar 0,422, belum memenuhi kriteria </w:t>
      </w:r>
      <w:r>
        <w:rPr>
          <w:rFonts w:ascii="Arial" w:hAnsi="Arial" w:cs="Arial"/>
          <w:i/>
          <w:color w:val="000000"/>
        </w:rPr>
        <w:t>fit</w:t>
      </w:r>
      <w:r>
        <w:rPr>
          <w:rFonts w:ascii="Arial" w:hAnsi="Arial" w:cs="Arial"/>
          <w:color w:val="000000"/>
        </w:rPr>
        <w:t xml:space="preserve"> ≥ 0,50.</w:t>
      </w:r>
    </w:p>
    <w:p>
      <w:pPr>
        <w:spacing w:after="0" w:line="240" w:lineRule="auto"/>
        <w:ind w:firstLine="426"/>
        <w:jc w:val="both"/>
        <w:rPr>
          <w:rFonts w:ascii="Arial" w:hAnsi="Arial" w:cs="Arial"/>
          <w:b/>
          <w:i/>
          <w:color w:val="000000"/>
        </w:rPr>
      </w:pPr>
      <w:r>
        <w:rPr>
          <w:rFonts w:ascii="Arial" w:hAnsi="Arial" w:cs="Arial"/>
          <w:color w:val="000000"/>
        </w:rPr>
        <w:t xml:space="preserve">Dapat disimpulkan, bahwa uji penilaian </w:t>
      </w:r>
      <w:r>
        <w:rPr>
          <w:rFonts w:ascii="Arial" w:hAnsi="Arial" w:cs="Arial"/>
          <w:i/>
          <w:color w:val="000000"/>
        </w:rPr>
        <w:t>goodness-of-fit</w:t>
      </w:r>
      <w:r>
        <w:rPr>
          <w:rFonts w:ascii="Arial" w:hAnsi="Arial" w:cs="Arial"/>
          <w:color w:val="000000"/>
        </w:rPr>
        <w:t xml:space="preserve"> telah memenuhi kriteria </w:t>
      </w:r>
      <w:r>
        <w:rPr>
          <w:rFonts w:ascii="Arial" w:hAnsi="Arial" w:cs="Arial"/>
          <w:i/>
          <w:color w:val="000000"/>
        </w:rPr>
        <w:t xml:space="preserve">fit </w:t>
      </w:r>
      <w:r>
        <w:rPr>
          <w:rFonts w:ascii="Arial" w:hAnsi="Arial" w:cs="Arial"/>
          <w:color w:val="000000"/>
        </w:rPr>
        <w:t xml:space="preserve">yang ditentukan. Oleh karena itu, </w:t>
      </w:r>
      <w:r>
        <w:rPr>
          <w:rFonts w:ascii="Arial" w:hAnsi="Arial" w:cs="Arial"/>
          <w:i/>
          <w:color w:val="000000"/>
        </w:rPr>
        <w:t>full model</w:t>
      </w:r>
      <w:r>
        <w:rPr>
          <w:rFonts w:ascii="Arial" w:hAnsi="Arial" w:cs="Arial"/>
          <w:color w:val="000000"/>
        </w:rPr>
        <w:t xml:space="preserve"> dapat dinyatakan </w:t>
      </w:r>
      <w:r>
        <w:rPr>
          <w:rFonts w:ascii="Arial" w:hAnsi="Arial" w:cs="Arial"/>
          <w:i/>
          <w:color w:val="000000"/>
        </w:rPr>
        <w:t>fit.</w:t>
      </w:r>
    </w:p>
    <w:p>
      <w:pPr>
        <w:spacing w:after="0" w:line="240" w:lineRule="auto"/>
        <w:jc w:val="both"/>
        <w:rPr>
          <w:rFonts w:ascii="Arial" w:hAnsi="Arial" w:cs="Arial"/>
          <w:b/>
          <w:color w:val="000000"/>
        </w:rPr>
      </w:pPr>
    </w:p>
    <w:p>
      <w:pPr>
        <w:spacing w:after="0" w:line="240" w:lineRule="auto"/>
        <w:jc w:val="both"/>
        <w:rPr>
          <w:rFonts w:ascii="Arial" w:hAnsi="Arial" w:cs="Arial"/>
          <w:b/>
          <w:color w:val="000000"/>
        </w:rPr>
      </w:pPr>
    </w:p>
    <w:p>
      <w:pPr>
        <w:spacing w:after="0" w:line="240" w:lineRule="auto"/>
        <w:jc w:val="both"/>
        <w:rPr>
          <w:rFonts w:ascii="Arial" w:hAnsi="Arial" w:cs="Arial"/>
          <w:b/>
          <w:color w:val="000000"/>
        </w:rPr>
      </w:pPr>
    </w:p>
    <w:p>
      <w:pPr>
        <w:spacing w:after="0" w:line="240" w:lineRule="auto"/>
        <w:jc w:val="both"/>
        <w:rPr>
          <w:rFonts w:ascii="Arial" w:hAnsi="Arial" w:cs="Arial"/>
          <w:b/>
          <w:color w:val="000000"/>
        </w:rPr>
      </w:pPr>
    </w:p>
    <w:p>
      <w:pPr>
        <w:spacing w:after="0" w:line="240" w:lineRule="auto"/>
        <w:jc w:val="both"/>
        <w:rPr>
          <w:rFonts w:ascii="Arial" w:hAnsi="Arial" w:cs="Arial"/>
          <w:b/>
          <w:color w:val="000000"/>
        </w:rPr>
      </w:pPr>
      <w:r>
        <w:rPr>
          <w:rFonts w:ascii="Arial" w:hAnsi="Arial" w:cs="Arial"/>
          <w:b/>
          <w:color w:val="000000"/>
        </w:rPr>
        <w:t>Uji Hipotesis</w:t>
      </w:r>
    </w:p>
    <w:p>
      <w:pPr>
        <w:spacing w:after="0" w:line="240" w:lineRule="auto"/>
        <w:ind w:firstLine="426"/>
        <w:jc w:val="both"/>
        <w:rPr>
          <w:rFonts w:ascii="Arial" w:hAnsi="Arial" w:cs="Arial"/>
          <w:b/>
          <w:color w:val="000000"/>
        </w:rPr>
      </w:pPr>
      <w:r>
        <w:rPr>
          <w:rFonts w:ascii="Arial" w:hAnsi="Arial" w:cs="Arial"/>
          <w:bCs/>
          <w:iCs/>
          <w:color w:val="000000"/>
        </w:rPr>
        <w:t xml:space="preserve">Dalam penelitian ini terdapat 5 (lima) hipotesis yang diajukan dan pembahasan secara lengkap dapat dijelaskan berdasarkan hasil uji </w:t>
      </w:r>
      <w:r>
        <w:rPr>
          <w:rFonts w:ascii="Arial" w:hAnsi="Arial" w:cs="Arial"/>
          <w:bCs/>
          <w:i/>
          <w:color w:val="000000"/>
        </w:rPr>
        <w:t xml:space="preserve">regression weights </w:t>
      </w:r>
      <w:r>
        <w:rPr>
          <w:rFonts w:ascii="Arial" w:hAnsi="Arial" w:cs="Arial"/>
          <w:bCs/>
          <w:iCs/>
          <w:color w:val="000000"/>
        </w:rPr>
        <w:t xml:space="preserve">konstruk </w:t>
      </w:r>
      <w:r>
        <w:rPr>
          <w:rFonts w:ascii="Arial" w:hAnsi="Arial" w:cs="Arial"/>
          <w:bCs/>
          <w:i/>
          <w:color w:val="000000"/>
        </w:rPr>
        <w:t>full model</w:t>
      </w:r>
      <w:r>
        <w:rPr>
          <w:rFonts w:ascii="Arial" w:hAnsi="Arial" w:cs="Arial"/>
          <w:bCs/>
          <w:color w:val="000000"/>
        </w:rPr>
        <w:t xml:space="preserve"> pada Tabel 4.</w:t>
      </w:r>
    </w:p>
    <w:p>
      <w:pPr>
        <w:spacing w:before="240" w:after="0" w:line="240" w:lineRule="auto"/>
        <w:jc w:val="both"/>
        <w:rPr>
          <w:rFonts w:ascii="Arial" w:hAnsi="Arial" w:cs="Arial"/>
          <w:color w:val="000000"/>
        </w:rPr>
        <w:sectPr>
          <w:type w:val="continuous"/>
          <w:pgSz w:w="11906" w:h="16838"/>
          <w:pgMar w:top="1701" w:right="1701" w:bottom="1701" w:left="1701" w:header="709" w:footer="588" w:gutter="0"/>
          <w:cols w:space="522" w:num="2"/>
          <w:docGrid w:linePitch="360" w:charSpace="0"/>
        </w:sectPr>
      </w:pPr>
    </w:p>
    <w:p>
      <w:pPr>
        <w:spacing w:after="0" w:line="240" w:lineRule="auto"/>
        <w:jc w:val="center"/>
        <w:rPr>
          <w:rFonts w:ascii="Arial" w:hAnsi="Arial" w:cs="Arial"/>
          <w:b/>
          <w:bCs/>
          <w:color w:val="000000"/>
        </w:rPr>
      </w:pPr>
    </w:p>
    <w:p>
      <w:pPr>
        <w:spacing w:after="0" w:line="240" w:lineRule="auto"/>
        <w:jc w:val="center"/>
        <w:rPr>
          <w:rFonts w:ascii="Arial" w:hAnsi="Arial" w:cs="Arial"/>
          <w:b/>
          <w:bCs/>
          <w:color w:val="000000"/>
        </w:rPr>
      </w:pPr>
      <w:r>
        <w:rPr>
          <w:rFonts w:ascii="Arial" w:hAnsi="Arial" w:cs="Arial"/>
          <w:b/>
          <w:bCs/>
          <w:color w:val="000000"/>
        </w:rPr>
        <w:t xml:space="preserve">Tabel 4.: Hasil Uji </w:t>
      </w:r>
      <w:r>
        <w:rPr>
          <w:rFonts w:ascii="Arial" w:hAnsi="Arial" w:cs="Arial"/>
          <w:b/>
          <w:bCs/>
          <w:i/>
          <w:iCs/>
          <w:color w:val="000000"/>
        </w:rPr>
        <w:t xml:space="preserve">Regression Weights </w:t>
      </w:r>
      <w:r>
        <w:rPr>
          <w:rFonts w:ascii="Arial" w:hAnsi="Arial" w:cs="Arial"/>
          <w:b/>
          <w:bCs/>
          <w:color w:val="000000"/>
        </w:rPr>
        <w:t xml:space="preserve">Konstruk </w:t>
      </w:r>
      <w:r>
        <w:rPr>
          <w:rFonts w:ascii="Arial" w:hAnsi="Arial" w:cs="Arial"/>
          <w:b/>
          <w:bCs/>
          <w:i/>
          <w:iCs/>
          <w:color w:val="000000"/>
        </w:rPr>
        <w:t>Full Model</w:t>
      </w:r>
    </w:p>
    <w:p>
      <w:pPr>
        <w:spacing w:after="0" w:line="240" w:lineRule="auto"/>
        <w:jc w:val="center"/>
        <w:rPr>
          <w:rFonts w:ascii="Arial" w:hAnsi="Arial" w:cs="Arial"/>
          <w:b/>
          <w:bCs/>
          <w:color w:val="000000"/>
        </w:rPr>
      </w:pPr>
      <w:r>
        <w:rPr>
          <w:rFonts w:ascii="Arial" w:hAnsi="Arial" w:eastAsia="Times New Roman" w:cs="Arial"/>
          <w:b/>
          <w:bCs/>
          <w:i/>
          <w:color w:val="000000"/>
        </w:rPr>
        <w:t>Regression Weights</w:t>
      </w:r>
      <w:r>
        <w:rPr>
          <w:rFonts w:ascii="Arial" w:hAnsi="Arial" w:eastAsia="Times New Roman" w:cs="Arial"/>
          <w:b/>
          <w:bCs/>
          <w:color w:val="000000"/>
        </w:rPr>
        <w:t>: (</w:t>
      </w:r>
      <w:r>
        <w:rPr>
          <w:rFonts w:ascii="Arial" w:hAnsi="Arial" w:eastAsia="Times New Roman" w:cs="Arial"/>
          <w:b/>
          <w:bCs/>
          <w:i/>
          <w:color w:val="000000"/>
        </w:rPr>
        <w:t>Group Number</w:t>
      </w:r>
      <w:r>
        <w:rPr>
          <w:rFonts w:ascii="Arial" w:hAnsi="Arial" w:eastAsia="Times New Roman" w:cs="Arial"/>
          <w:b/>
          <w:bCs/>
          <w:color w:val="000000"/>
        </w:rPr>
        <w:t xml:space="preserve"> 1-</w:t>
      </w:r>
      <w:r>
        <w:rPr>
          <w:rFonts w:ascii="Arial" w:hAnsi="Arial" w:eastAsia="Times New Roman" w:cs="Arial"/>
          <w:b/>
          <w:bCs/>
          <w:i/>
          <w:color w:val="000000"/>
        </w:rPr>
        <w:t>Default Model</w:t>
      </w:r>
      <w:r>
        <w:rPr>
          <w:rFonts w:ascii="Arial" w:hAnsi="Arial" w:eastAsia="Times New Roman" w:cs="Arial"/>
          <w:b/>
          <w:bCs/>
          <w:color w:val="000000"/>
        </w:rPr>
        <w:t>)</w:t>
      </w:r>
    </w:p>
    <w:tbl>
      <w:tblPr>
        <w:tblW w:w="8469" w:type="dxa"/>
        <w:tblInd w:w="140" w:type="dxa"/>
        <w:tblBorders>
          <w:top w:val="single" w:color="auto" w:sz="24" w:space="0"/>
          <w:left w:val="none" w:color="auto" w:sz="0" w:space="0"/>
          <w:bottom w:val="single" w:color="auto" w:sz="24" w:space="0"/>
          <w:right w:val="none" w:color="auto" w:sz="0" w:space="0"/>
          <w:insideH w:val="none" w:color="auto" w:sz="0" w:space="0"/>
          <w:insideV w:val="none" w:color="auto" w:sz="0" w:space="0"/>
        </w:tblBorders>
        <w:tblLayout w:type="fixed"/>
        <w:tblCellMar>
          <w:top w:w="15" w:type="dxa"/>
          <w:left w:w="15" w:type="dxa"/>
          <w:bottom w:w="15" w:type="dxa"/>
          <w:right w:w="15" w:type="dxa"/>
        </w:tblCellMar>
      </w:tblPr>
      <w:tblGrid>
        <w:gridCol w:w="1833"/>
        <w:gridCol w:w="423"/>
        <w:gridCol w:w="1973"/>
        <w:gridCol w:w="1061"/>
        <w:gridCol w:w="822"/>
        <w:gridCol w:w="846"/>
        <w:gridCol w:w="677"/>
        <w:gridCol w:w="834"/>
      </w:tblGrid>
      <w:tr>
        <w:tblPrEx>
          <w:tblBorders>
            <w:top w:val="single" w:color="auto" w:sz="24" w:space="0"/>
            <w:left w:val="none" w:color="auto" w:sz="0" w:space="0"/>
            <w:bottom w:val="single" w:color="auto" w:sz="24"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78" w:hRule="atLeast"/>
          <w:tblHeader/>
        </w:trPr>
        <w:tc>
          <w:tcPr>
            <w:tcW w:w="1833" w:type="dxa"/>
            <w:tcMar>
              <w:top w:w="15" w:type="dxa"/>
              <w:left w:w="140" w:type="dxa"/>
              <w:bottom w:w="15" w:type="dxa"/>
              <w:right w:w="140" w:type="dxa"/>
            </w:tcMar>
            <w:vAlign w:val="center"/>
          </w:tcPr>
          <w:p>
            <w:pPr>
              <w:spacing w:after="0" w:line="240" w:lineRule="auto"/>
              <w:jc w:val="right"/>
              <w:rPr>
                <w:rFonts w:ascii="Arial" w:hAnsi="Arial" w:eastAsia="Times New Roman" w:cs="Arial"/>
                <w:color w:val="000000"/>
                <w:sz w:val="18"/>
                <w:szCs w:val="18"/>
              </w:rPr>
            </w:pPr>
          </w:p>
        </w:tc>
        <w:tc>
          <w:tcPr>
            <w:tcW w:w="423" w:type="dxa"/>
            <w:tcMar>
              <w:top w:w="15" w:type="dxa"/>
              <w:left w:w="140" w:type="dxa"/>
              <w:bottom w:w="15" w:type="dxa"/>
              <w:right w:w="140" w:type="dxa"/>
            </w:tcMar>
            <w:vAlign w:val="center"/>
          </w:tcPr>
          <w:p>
            <w:pPr>
              <w:spacing w:after="0" w:line="240" w:lineRule="auto"/>
              <w:jc w:val="right"/>
              <w:rPr>
                <w:rFonts w:ascii="Arial" w:hAnsi="Arial" w:eastAsia="Times New Roman" w:cs="Arial"/>
                <w:color w:val="000000"/>
                <w:sz w:val="18"/>
                <w:szCs w:val="18"/>
              </w:rPr>
            </w:pPr>
          </w:p>
        </w:tc>
        <w:tc>
          <w:tcPr>
            <w:tcW w:w="1973" w:type="dxa"/>
            <w:tcMar>
              <w:top w:w="15" w:type="dxa"/>
              <w:left w:w="140" w:type="dxa"/>
              <w:bottom w:w="15" w:type="dxa"/>
              <w:right w:w="140" w:type="dxa"/>
            </w:tcMar>
            <w:vAlign w:val="center"/>
          </w:tcPr>
          <w:p>
            <w:pPr>
              <w:spacing w:after="0" w:line="240" w:lineRule="auto"/>
              <w:jc w:val="right"/>
              <w:rPr>
                <w:rFonts w:ascii="Arial" w:hAnsi="Arial" w:eastAsia="Times New Roman" w:cs="Arial"/>
                <w:color w:val="000000"/>
                <w:sz w:val="18"/>
                <w:szCs w:val="18"/>
              </w:rPr>
            </w:pPr>
          </w:p>
        </w:tc>
        <w:tc>
          <w:tcPr>
            <w:tcW w:w="1061" w:type="dxa"/>
            <w:tcMar>
              <w:top w:w="15" w:type="dxa"/>
              <w:left w:w="140" w:type="dxa"/>
              <w:bottom w:w="15" w:type="dxa"/>
              <w:right w:w="140" w:type="dxa"/>
            </w:tcMar>
            <w:vAlign w:val="center"/>
          </w:tcPr>
          <w:p>
            <w:pPr>
              <w:spacing w:after="0" w:line="240" w:lineRule="auto"/>
              <w:jc w:val="right"/>
              <w:rPr>
                <w:rFonts w:ascii="Arial" w:hAnsi="Arial" w:eastAsia="Times New Roman" w:cs="Arial"/>
                <w:i/>
                <w:color w:val="000000"/>
                <w:sz w:val="18"/>
                <w:szCs w:val="18"/>
              </w:rPr>
            </w:pPr>
            <w:r>
              <w:rPr>
                <w:rFonts w:ascii="Arial" w:hAnsi="Arial" w:eastAsia="Times New Roman" w:cs="Arial"/>
                <w:i/>
                <w:color w:val="000000"/>
                <w:sz w:val="18"/>
                <w:szCs w:val="18"/>
              </w:rPr>
              <w:t>Estimate</w:t>
            </w:r>
          </w:p>
        </w:tc>
        <w:tc>
          <w:tcPr>
            <w:tcW w:w="822" w:type="dxa"/>
            <w:tcMar>
              <w:top w:w="15" w:type="dxa"/>
              <w:left w:w="140" w:type="dxa"/>
              <w:bottom w:w="15" w:type="dxa"/>
              <w:right w:w="140" w:type="dxa"/>
            </w:tcMar>
            <w:vAlign w:val="center"/>
          </w:tcPr>
          <w:p>
            <w:pPr>
              <w:spacing w:after="0" w:line="240" w:lineRule="auto"/>
              <w:jc w:val="right"/>
              <w:rPr>
                <w:rFonts w:ascii="Arial" w:hAnsi="Arial" w:eastAsia="Times New Roman" w:cs="Arial"/>
                <w:color w:val="000000"/>
                <w:sz w:val="18"/>
                <w:szCs w:val="18"/>
              </w:rPr>
            </w:pPr>
            <w:r>
              <w:rPr>
                <w:rFonts w:ascii="Arial" w:hAnsi="Arial" w:eastAsia="Times New Roman" w:cs="Arial"/>
                <w:color w:val="000000"/>
                <w:sz w:val="18"/>
                <w:szCs w:val="18"/>
              </w:rPr>
              <w:t>S.E.</w:t>
            </w:r>
          </w:p>
        </w:tc>
        <w:tc>
          <w:tcPr>
            <w:tcW w:w="846" w:type="dxa"/>
            <w:tcMar>
              <w:top w:w="15" w:type="dxa"/>
              <w:left w:w="140" w:type="dxa"/>
              <w:bottom w:w="15" w:type="dxa"/>
              <w:right w:w="140" w:type="dxa"/>
            </w:tcMar>
            <w:vAlign w:val="center"/>
          </w:tcPr>
          <w:p>
            <w:pPr>
              <w:spacing w:after="0" w:line="240" w:lineRule="auto"/>
              <w:jc w:val="right"/>
              <w:rPr>
                <w:rFonts w:ascii="Arial" w:hAnsi="Arial" w:eastAsia="Times New Roman" w:cs="Arial"/>
                <w:color w:val="000000"/>
                <w:sz w:val="18"/>
                <w:szCs w:val="18"/>
              </w:rPr>
            </w:pPr>
            <w:r>
              <w:rPr>
                <w:rFonts w:ascii="Arial" w:hAnsi="Arial" w:eastAsia="Times New Roman" w:cs="Arial"/>
                <w:color w:val="000000"/>
                <w:sz w:val="18"/>
                <w:szCs w:val="18"/>
              </w:rPr>
              <w:t>C.R.</w:t>
            </w:r>
          </w:p>
        </w:tc>
        <w:tc>
          <w:tcPr>
            <w:tcW w:w="677" w:type="dxa"/>
            <w:tcMar>
              <w:top w:w="15" w:type="dxa"/>
              <w:left w:w="140" w:type="dxa"/>
              <w:bottom w:w="15" w:type="dxa"/>
              <w:right w:w="140" w:type="dxa"/>
            </w:tcMar>
            <w:vAlign w:val="center"/>
          </w:tcPr>
          <w:p>
            <w:pPr>
              <w:spacing w:after="0" w:line="240" w:lineRule="auto"/>
              <w:jc w:val="right"/>
              <w:rPr>
                <w:rFonts w:ascii="Arial" w:hAnsi="Arial" w:eastAsia="Times New Roman" w:cs="Arial"/>
                <w:color w:val="000000"/>
                <w:sz w:val="18"/>
                <w:szCs w:val="18"/>
              </w:rPr>
            </w:pPr>
            <w:r>
              <w:rPr>
                <w:rFonts w:ascii="Arial" w:hAnsi="Arial" w:eastAsia="Times New Roman" w:cs="Arial"/>
                <w:color w:val="000000"/>
                <w:sz w:val="18"/>
                <w:szCs w:val="18"/>
              </w:rPr>
              <w:t>P</w:t>
            </w:r>
          </w:p>
        </w:tc>
        <w:tc>
          <w:tcPr>
            <w:tcW w:w="834" w:type="dxa"/>
            <w:tcMar>
              <w:top w:w="15" w:type="dxa"/>
              <w:left w:w="140" w:type="dxa"/>
              <w:bottom w:w="15" w:type="dxa"/>
              <w:right w:w="140" w:type="dxa"/>
            </w:tcMar>
            <w:vAlign w:val="center"/>
          </w:tcPr>
          <w:p>
            <w:pPr>
              <w:spacing w:after="0" w:line="240" w:lineRule="auto"/>
              <w:rPr>
                <w:rFonts w:ascii="Arial" w:hAnsi="Arial" w:eastAsia="Times New Roman" w:cs="Arial"/>
                <w:color w:val="000000"/>
                <w:sz w:val="18"/>
                <w:szCs w:val="18"/>
              </w:rPr>
            </w:pPr>
            <w:r>
              <w:rPr>
                <w:rFonts w:ascii="Arial" w:hAnsi="Arial" w:eastAsia="Times New Roman" w:cs="Arial"/>
                <w:color w:val="000000"/>
                <w:sz w:val="18"/>
                <w:szCs w:val="18"/>
              </w:rPr>
              <w:t>Label</w:t>
            </w:r>
          </w:p>
        </w:tc>
      </w:tr>
      <w:tr>
        <w:tblPrEx>
          <w:tblBorders>
            <w:top w:val="single" w:color="auto" w:sz="24" w:space="0"/>
            <w:left w:val="none" w:color="auto" w:sz="0" w:space="0"/>
            <w:bottom w:val="single" w:color="auto" w:sz="24"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59" w:hRule="atLeast"/>
        </w:trPr>
        <w:tc>
          <w:tcPr>
            <w:tcW w:w="1833" w:type="dxa"/>
            <w:tcMar>
              <w:top w:w="15" w:type="dxa"/>
              <w:left w:w="57" w:type="dxa"/>
              <w:bottom w:w="15" w:type="dxa"/>
              <w:right w:w="57" w:type="dxa"/>
            </w:tcMar>
            <w:vAlign w:val="center"/>
          </w:tcPr>
          <w:p>
            <w:pPr>
              <w:spacing w:after="0" w:line="240" w:lineRule="auto"/>
              <w:rPr>
                <w:rFonts w:ascii="Arial" w:hAnsi="Arial" w:eastAsia="Times New Roman" w:cs="Arial"/>
                <w:color w:val="000000"/>
                <w:sz w:val="18"/>
                <w:szCs w:val="18"/>
              </w:rPr>
            </w:pPr>
            <w:r>
              <w:rPr>
                <w:rFonts w:ascii="Arial" w:hAnsi="Arial" w:eastAsia="Times New Roman" w:cs="Arial"/>
                <w:color w:val="000000"/>
                <w:sz w:val="18"/>
                <w:szCs w:val="18"/>
              </w:rPr>
              <w:t>Kepuasan_Nasabah</w:t>
            </w:r>
          </w:p>
        </w:tc>
        <w:tc>
          <w:tcPr>
            <w:tcW w:w="423" w:type="dxa"/>
            <w:tcMar>
              <w:top w:w="15" w:type="dxa"/>
              <w:left w:w="57" w:type="dxa"/>
              <w:bottom w:w="15" w:type="dxa"/>
              <w:right w:w="57" w:type="dxa"/>
            </w:tcMar>
            <w:vAlign w:val="center"/>
          </w:tcPr>
          <w:p>
            <w:pPr>
              <w:spacing w:after="0" w:line="240" w:lineRule="auto"/>
              <w:rPr>
                <w:rFonts w:ascii="Arial" w:hAnsi="Arial" w:eastAsia="Times New Roman" w:cs="Arial"/>
                <w:color w:val="000000"/>
                <w:sz w:val="18"/>
                <w:szCs w:val="18"/>
              </w:rPr>
            </w:pPr>
            <w:r>
              <w:rPr>
                <w:rFonts w:ascii="Arial" w:hAnsi="Arial" w:eastAsia="Times New Roman" w:cs="Arial"/>
                <w:color w:val="000000"/>
                <w:sz w:val="18"/>
                <w:szCs w:val="18"/>
              </w:rPr>
              <w:t>&lt;---</w:t>
            </w:r>
          </w:p>
        </w:tc>
        <w:tc>
          <w:tcPr>
            <w:tcW w:w="1973" w:type="dxa"/>
            <w:tcMar>
              <w:top w:w="15" w:type="dxa"/>
              <w:left w:w="140" w:type="dxa"/>
              <w:bottom w:w="15" w:type="dxa"/>
              <w:right w:w="140" w:type="dxa"/>
            </w:tcMar>
            <w:vAlign w:val="center"/>
          </w:tcPr>
          <w:p>
            <w:pPr>
              <w:spacing w:after="0" w:line="240" w:lineRule="auto"/>
              <w:rPr>
                <w:rFonts w:ascii="Arial" w:hAnsi="Arial" w:eastAsia="Times New Roman" w:cs="Arial"/>
                <w:color w:val="000000"/>
                <w:sz w:val="18"/>
                <w:szCs w:val="18"/>
              </w:rPr>
            </w:pPr>
            <w:r>
              <w:rPr>
                <w:rFonts w:ascii="Arial" w:hAnsi="Arial" w:eastAsia="Times New Roman" w:cs="Arial"/>
                <w:color w:val="000000"/>
                <w:sz w:val="18"/>
                <w:szCs w:val="18"/>
              </w:rPr>
              <w:t>Kualitas_Pelayanan</w:t>
            </w:r>
          </w:p>
        </w:tc>
        <w:tc>
          <w:tcPr>
            <w:tcW w:w="1061" w:type="dxa"/>
            <w:tcMar>
              <w:top w:w="15" w:type="dxa"/>
              <w:left w:w="57" w:type="dxa"/>
              <w:bottom w:w="15" w:type="dxa"/>
              <w:right w:w="57" w:type="dxa"/>
            </w:tcMar>
            <w:vAlign w:val="center"/>
          </w:tcPr>
          <w:p>
            <w:pPr>
              <w:spacing w:after="0" w:line="240" w:lineRule="auto"/>
              <w:jc w:val="right"/>
              <w:rPr>
                <w:rFonts w:ascii="Arial" w:hAnsi="Arial" w:eastAsia="Times New Roman" w:cs="Arial"/>
                <w:color w:val="000000"/>
                <w:sz w:val="18"/>
                <w:szCs w:val="18"/>
              </w:rPr>
            </w:pPr>
            <w:r>
              <w:rPr>
                <w:rFonts w:ascii="Arial" w:hAnsi="Arial" w:eastAsia="Times New Roman" w:cs="Arial"/>
                <w:color w:val="000000"/>
                <w:sz w:val="18"/>
                <w:szCs w:val="18"/>
              </w:rPr>
              <w:t>-.496</w:t>
            </w:r>
          </w:p>
        </w:tc>
        <w:tc>
          <w:tcPr>
            <w:tcW w:w="822" w:type="dxa"/>
            <w:tcMar>
              <w:top w:w="15" w:type="dxa"/>
              <w:left w:w="57" w:type="dxa"/>
              <w:bottom w:w="15" w:type="dxa"/>
              <w:right w:w="57" w:type="dxa"/>
            </w:tcMar>
            <w:vAlign w:val="center"/>
          </w:tcPr>
          <w:p>
            <w:pPr>
              <w:spacing w:after="0" w:line="240" w:lineRule="auto"/>
              <w:jc w:val="right"/>
              <w:rPr>
                <w:rFonts w:ascii="Arial" w:hAnsi="Arial" w:eastAsia="Times New Roman" w:cs="Arial"/>
                <w:color w:val="000000"/>
                <w:sz w:val="18"/>
                <w:szCs w:val="18"/>
              </w:rPr>
            </w:pPr>
            <w:r>
              <w:rPr>
                <w:rFonts w:ascii="Arial" w:hAnsi="Arial" w:eastAsia="Times New Roman" w:cs="Arial"/>
                <w:color w:val="000000"/>
                <w:sz w:val="18"/>
                <w:szCs w:val="18"/>
              </w:rPr>
              <w:t>.314</w:t>
            </w:r>
          </w:p>
        </w:tc>
        <w:tc>
          <w:tcPr>
            <w:tcW w:w="846" w:type="dxa"/>
            <w:tcMar>
              <w:top w:w="15" w:type="dxa"/>
              <w:left w:w="57" w:type="dxa"/>
              <w:bottom w:w="15" w:type="dxa"/>
              <w:right w:w="57" w:type="dxa"/>
            </w:tcMar>
            <w:vAlign w:val="center"/>
          </w:tcPr>
          <w:p>
            <w:pPr>
              <w:spacing w:after="0" w:line="240" w:lineRule="auto"/>
              <w:jc w:val="right"/>
              <w:rPr>
                <w:rFonts w:ascii="Arial" w:hAnsi="Arial" w:eastAsia="Times New Roman" w:cs="Arial"/>
                <w:color w:val="000000"/>
                <w:sz w:val="18"/>
                <w:szCs w:val="18"/>
              </w:rPr>
            </w:pPr>
            <w:r>
              <w:rPr>
                <w:rFonts w:ascii="Arial" w:hAnsi="Arial" w:eastAsia="Times New Roman" w:cs="Arial"/>
                <w:color w:val="000000"/>
                <w:sz w:val="18"/>
                <w:szCs w:val="18"/>
              </w:rPr>
              <w:t>-1.580</w:t>
            </w:r>
          </w:p>
        </w:tc>
        <w:tc>
          <w:tcPr>
            <w:tcW w:w="677" w:type="dxa"/>
            <w:tcMar>
              <w:top w:w="15" w:type="dxa"/>
              <w:left w:w="57" w:type="dxa"/>
              <w:bottom w:w="15" w:type="dxa"/>
              <w:right w:w="57" w:type="dxa"/>
            </w:tcMar>
            <w:vAlign w:val="center"/>
          </w:tcPr>
          <w:p>
            <w:pPr>
              <w:spacing w:after="0" w:line="240" w:lineRule="auto"/>
              <w:jc w:val="right"/>
              <w:rPr>
                <w:rFonts w:ascii="Arial" w:hAnsi="Arial" w:eastAsia="Times New Roman" w:cs="Arial"/>
                <w:color w:val="000000"/>
                <w:sz w:val="18"/>
                <w:szCs w:val="18"/>
              </w:rPr>
            </w:pPr>
            <w:r>
              <w:rPr>
                <w:rFonts w:ascii="Arial" w:hAnsi="Arial" w:eastAsia="Times New Roman" w:cs="Arial"/>
                <w:color w:val="000000"/>
                <w:sz w:val="18"/>
                <w:szCs w:val="18"/>
              </w:rPr>
              <w:t>.114</w:t>
            </w:r>
          </w:p>
        </w:tc>
        <w:tc>
          <w:tcPr>
            <w:tcW w:w="834" w:type="dxa"/>
            <w:tcMar>
              <w:top w:w="15" w:type="dxa"/>
              <w:left w:w="57" w:type="dxa"/>
              <w:bottom w:w="15" w:type="dxa"/>
              <w:right w:w="57" w:type="dxa"/>
            </w:tcMar>
            <w:vAlign w:val="center"/>
          </w:tcPr>
          <w:p>
            <w:pPr>
              <w:spacing w:after="0" w:line="240" w:lineRule="auto"/>
              <w:rPr>
                <w:rFonts w:ascii="Arial" w:hAnsi="Arial" w:eastAsia="Times New Roman" w:cs="Arial"/>
                <w:color w:val="000000"/>
                <w:sz w:val="18"/>
                <w:szCs w:val="18"/>
              </w:rPr>
            </w:pPr>
            <w:r>
              <w:rPr>
                <w:rFonts w:ascii="Arial" w:hAnsi="Arial" w:eastAsia="Times New Roman" w:cs="Arial"/>
                <w:color w:val="000000"/>
                <w:sz w:val="18"/>
                <w:szCs w:val="18"/>
              </w:rPr>
              <w:t>par_11</w:t>
            </w:r>
          </w:p>
        </w:tc>
      </w:tr>
      <w:tr>
        <w:tblPrEx>
          <w:tblBorders>
            <w:top w:val="single" w:color="auto" w:sz="24" w:space="0"/>
            <w:left w:val="none" w:color="auto" w:sz="0" w:space="0"/>
            <w:bottom w:val="single" w:color="auto" w:sz="24"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78" w:hRule="atLeast"/>
        </w:trPr>
        <w:tc>
          <w:tcPr>
            <w:tcW w:w="1833" w:type="dxa"/>
            <w:tcMar>
              <w:top w:w="15" w:type="dxa"/>
              <w:left w:w="57" w:type="dxa"/>
              <w:bottom w:w="15" w:type="dxa"/>
              <w:right w:w="57" w:type="dxa"/>
            </w:tcMar>
            <w:vAlign w:val="center"/>
          </w:tcPr>
          <w:p>
            <w:pPr>
              <w:spacing w:after="0" w:line="240" w:lineRule="auto"/>
              <w:rPr>
                <w:rFonts w:ascii="Arial" w:hAnsi="Arial" w:eastAsia="Times New Roman" w:cs="Arial"/>
                <w:color w:val="000000"/>
                <w:sz w:val="18"/>
                <w:szCs w:val="18"/>
              </w:rPr>
            </w:pPr>
            <w:r>
              <w:rPr>
                <w:rFonts w:ascii="Arial" w:hAnsi="Arial" w:eastAsia="Times New Roman" w:cs="Arial"/>
                <w:color w:val="000000"/>
                <w:sz w:val="18"/>
                <w:szCs w:val="18"/>
              </w:rPr>
              <w:t>Kepuasan_Nasabah</w:t>
            </w:r>
          </w:p>
        </w:tc>
        <w:tc>
          <w:tcPr>
            <w:tcW w:w="423" w:type="dxa"/>
            <w:tcMar>
              <w:top w:w="15" w:type="dxa"/>
              <w:left w:w="57" w:type="dxa"/>
              <w:bottom w:w="15" w:type="dxa"/>
              <w:right w:w="57" w:type="dxa"/>
            </w:tcMar>
            <w:vAlign w:val="center"/>
          </w:tcPr>
          <w:p>
            <w:pPr>
              <w:spacing w:after="0" w:line="240" w:lineRule="auto"/>
              <w:rPr>
                <w:rFonts w:ascii="Arial" w:hAnsi="Arial" w:eastAsia="Times New Roman" w:cs="Arial"/>
                <w:color w:val="000000"/>
                <w:sz w:val="18"/>
                <w:szCs w:val="18"/>
              </w:rPr>
            </w:pPr>
            <w:r>
              <w:rPr>
                <w:rFonts w:ascii="Arial" w:hAnsi="Arial" w:eastAsia="Times New Roman" w:cs="Arial"/>
                <w:color w:val="000000"/>
                <w:sz w:val="18"/>
                <w:szCs w:val="18"/>
              </w:rPr>
              <w:t>&lt;---</w:t>
            </w:r>
          </w:p>
        </w:tc>
        <w:tc>
          <w:tcPr>
            <w:tcW w:w="1973" w:type="dxa"/>
            <w:tcMar>
              <w:top w:w="15" w:type="dxa"/>
              <w:left w:w="140" w:type="dxa"/>
              <w:bottom w:w="15" w:type="dxa"/>
              <w:right w:w="140" w:type="dxa"/>
            </w:tcMar>
            <w:vAlign w:val="center"/>
          </w:tcPr>
          <w:p>
            <w:pPr>
              <w:spacing w:after="0" w:line="240" w:lineRule="auto"/>
              <w:rPr>
                <w:rFonts w:ascii="Arial" w:hAnsi="Arial" w:eastAsia="Times New Roman" w:cs="Arial"/>
                <w:color w:val="000000"/>
                <w:sz w:val="18"/>
                <w:szCs w:val="18"/>
              </w:rPr>
            </w:pPr>
            <w:r>
              <w:rPr>
                <w:rFonts w:ascii="Arial" w:hAnsi="Arial" w:eastAsia="Times New Roman" w:cs="Arial"/>
                <w:color w:val="000000"/>
                <w:sz w:val="18"/>
                <w:szCs w:val="18"/>
              </w:rPr>
              <w:t>Kualitas_Produk</w:t>
            </w:r>
          </w:p>
        </w:tc>
        <w:tc>
          <w:tcPr>
            <w:tcW w:w="1061" w:type="dxa"/>
            <w:tcMar>
              <w:top w:w="15" w:type="dxa"/>
              <w:left w:w="57" w:type="dxa"/>
              <w:bottom w:w="15" w:type="dxa"/>
              <w:right w:w="57" w:type="dxa"/>
            </w:tcMar>
            <w:vAlign w:val="center"/>
          </w:tcPr>
          <w:p>
            <w:pPr>
              <w:spacing w:after="0" w:line="240" w:lineRule="auto"/>
              <w:jc w:val="right"/>
              <w:rPr>
                <w:rFonts w:ascii="Arial" w:hAnsi="Arial" w:eastAsia="Times New Roman" w:cs="Arial"/>
                <w:color w:val="000000"/>
                <w:sz w:val="18"/>
                <w:szCs w:val="18"/>
              </w:rPr>
            </w:pPr>
            <w:r>
              <w:rPr>
                <w:rFonts w:ascii="Arial" w:hAnsi="Arial" w:eastAsia="Times New Roman" w:cs="Arial"/>
                <w:color w:val="000000"/>
                <w:sz w:val="18"/>
                <w:szCs w:val="18"/>
              </w:rPr>
              <w:t>.813</w:t>
            </w:r>
          </w:p>
        </w:tc>
        <w:tc>
          <w:tcPr>
            <w:tcW w:w="822" w:type="dxa"/>
            <w:tcMar>
              <w:top w:w="15" w:type="dxa"/>
              <w:left w:w="57" w:type="dxa"/>
              <w:bottom w:w="15" w:type="dxa"/>
              <w:right w:w="57" w:type="dxa"/>
            </w:tcMar>
            <w:vAlign w:val="center"/>
          </w:tcPr>
          <w:p>
            <w:pPr>
              <w:spacing w:after="0" w:line="240" w:lineRule="auto"/>
              <w:jc w:val="right"/>
              <w:rPr>
                <w:rFonts w:ascii="Arial" w:hAnsi="Arial" w:eastAsia="Times New Roman" w:cs="Arial"/>
                <w:color w:val="000000"/>
                <w:sz w:val="18"/>
                <w:szCs w:val="18"/>
              </w:rPr>
            </w:pPr>
            <w:r>
              <w:rPr>
                <w:rFonts w:ascii="Arial" w:hAnsi="Arial" w:eastAsia="Times New Roman" w:cs="Arial"/>
                <w:color w:val="000000"/>
                <w:sz w:val="18"/>
                <w:szCs w:val="18"/>
              </w:rPr>
              <w:t>.268</w:t>
            </w:r>
          </w:p>
        </w:tc>
        <w:tc>
          <w:tcPr>
            <w:tcW w:w="846" w:type="dxa"/>
            <w:tcMar>
              <w:top w:w="15" w:type="dxa"/>
              <w:left w:w="57" w:type="dxa"/>
              <w:bottom w:w="15" w:type="dxa"/>
              <w:right w:w="57" w:type="dxa"/>
            </w:tcMar>
            <w:vAlign w:val="center"/>
          </w:tcPr>
          <w:p>
            <w:pPr>
              <w:spacing w:after="0" w:line="240" w:lineRule="auto"/>
              <w:jc w:val="right"/>
              <w:rPr>
                <w:rFonts w:ascii="Arial" w:hAnsi="Arial" w:eastAsia="Times New Roman" w:cs="Arial"/>
                <w:color w:val="000000"/>
                <w:sz w:val="18"/>
                <w:szCs w:val="18"/>
              </w:rPr>
            </w:pPr>
            <w:r>
              <w:rPr>
                <w:rFonts w:ascii="Arial" w:hAnsi="Arial" w:eastAsia="Times New Roman" w:cs="Arial"/>
                <w:color w:val="000000"/>
                <w:sz w:val="18"/>
                <w:szCs w:val="18"/>
              </w:rPr>
              <w:t>3.037</w:t>
            </w:r>
          </w:p>
        </w:tc>
        <w:tc>
          <w:tcPr>
            <w:tcW w:w="677" w:type="dxa"/>
            <w:tcMar>
              <w:top w:w="15" w:type="dxa"/>
              <w:left w:w="57" w:type="dxa"/>
              <w:bottom w:w="15" w:type="dxa"/>
              <w:right w:w="57" w:type="dxa"/>
            </w:tcMar>
            <w:vAlign w:val="center"/>
          </w:tcPr>
          <w:p>
            <w:pPr>
              <w:spacing w:after="0" w:line="240" w:lineRule="auto"/>
              <w:jc w:val="right"/>
              <w:rPr>
                <w:rFonts w:ascii="Arial" w:hAnsi="Arial" w:eastAsia="Times New Roman" w:cs="Arial"/>
                <w:color w:val="000000"/>
                <w:sz w:val="18"/>
                <w:szCs w:val="18"/>
              </w:rPr>
            </w:pPr>
            <w:r>
              <w:rPr>
                <w:rFonts w:ascii="Arial" w:hAnsi="Arial" w:eastAsia="Times New Roman" w:cs="Arial"/>
                <w:color w:val="000000"/>
                <w:sz w:val="18"/>
                <w:szCs w:val="18"/>
              </w:rPr>
              <w:t>.002</w:t>
            </w:r>
          </w:p>
        </w:tc>
        <w:tc>
          <w:tcPr>
            <w:tcW w:w="834" w:type="dxa"/>
            <w:tcMar>
              <w:top w:w="15" w:type="dxa"/>
              <w:left w:w="57" w:type="dxa"/>
              <w:bottom w:w="15" w:type="dxa"/>
              <w:right w:w="57" w:type="dxa"/>
            </w:tcMar>
            <w:vAlign w:val="center"/>
          </w:tcPr>
          <w:p>
            <w:pPr>
              <w:spacing w:after="0" w:line="240" w:lineRule="auto"/>
              <w:rPr>
                <w:rFonts w:ascii="Arial" w:hAnsi="Arial" w:eastAsia="Times New Roman" w:cs="Arial"/>
                <w:color w:val="000000"/>
                <w:sz w:val="18"/>
                <w:szCs w:val="18"/>
              </w:rPr>
            </w:pPr>
            <w:r>
              <w:rPr>
                <w:rFonts w:ascii="Arial" w:hAnsi="Arial" w:eastAsia="Times New Roman" w:cs="Arial"/>
                <w:color w:val="000000"/>
                <w:sz w:val="18"/>
                <w:szCs w:val="18"/>
              </w:rPr>
              <w:t>par_12</w:t>
            </w:r>
          </w:p>
        </w:tc>
      </w:tr>
      <w:tr>
        <w:tblPrEx>
          <w:tblBorders>
            <w:top w:val="single" w:color="auto" w:sz="24" w:space="0"/>
            <w:left w:val="none" w:color="auto" w:sz="0" w:space="0"/>
            <w:bottom w:val="single" w:color="auto" w:sz="24"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59" w:hRule="atLeast"/>
        </w:trPr>
        <w:tc>
          <w:tcPr>
            <w:tcW w:w="1833" w:type="dxa"/>
            <w:tcMar>
              <w:top w:w="15" w:type="dxa"/>
              <w:left w:w="57" w:type="dxa"/>
              <w:bottom w:w="15" w:type="dxa"/>
              <w:right w:w="57" w:type="dxa"/>
            </w:tcMar>
            <w:vAlign w:val="center"/>
          </w:tcPr>
          <w:p>
            <w:pPr>
              <w:spacing w:after="0" w:line="240" w:lineRule="auto"/>
              <w:rPr>
                <w:rFonts w:ascii="Arial" w:hAnsi="Arial" w:eastAsia="Times New Roman" w:cs="Arial"/>
                <w:color w:val="000000"/>
                <w:sz w:val="18"/>
                <w:szCs w:val="18"/>
              </w:rPr>
            </w:pPr>
            <w:r>
              <w:rPr>
                <w:rFonts w:ascii="Arial" w:hAnsi="Arial" w:eastAsia="Times New Roman" w:cs="Arial"/>
                <w:color w:val="000000"/>
                <w:sz w:val="18"/>
                <w:szCs w:val="18"/>
              </w:rPr>
              <w:t>Kepuasan_Nasabah</w:t>
            </w:r>
          </w:p>
        </w:tc>
        <w:tc>
          <w:tcPr>
            <w:tcW w:w="423" w:type="dxa"/>
            <w:tcMar>
              <w:top w:w="15" w:type="dxa"/>
              <w:left w:w="57" w:type="dxa"/>
              <w:bottom w:w="15" w:type="dxa"/>
              <w:right w:w="57" w:type="dxa"/>
            </w:tcMar>
            <w:vAlign w:val="center"/>
          </w:tcPr>
          <w:p>
            <w:pPr>
              <w:spacing w:after="0" w:line="240" w:lineRule="auto"/>
              <w:rPr>
                <w:rFonts w:ascii="Arial" w:hAnsi="Arial" w:eastAsia="Times New Roman" w:cs="Arial"/>
                <w:color w:val="000000"/>
                <w:sz w:val="18"/>
                <w:szCs w:val="18"/>
              </w:rPr>
            </w:pPr>
            <w:r>
              <w:rPr>
                <w:rFonts w:ascii="Arial" w:hAnsi="Arial" w:eastAsia="Times New Roman" w:cs="Arial"/>
                <w:color w:val="000000"/>
                <w:sz w:val="18"/>
                <w:szCs w:val="18"/>
              </w:rPr>
              <w:t>&lt;---</w:t>
            </w:r>
          </w:p>
        </w:tc>
        <w:tc>
          <w:tcPr>
            <w:tcW w:w="1973" w:type="dxa"/>
            <w:tcMar>
              <w:top w:w="15" w:type="dxa"/>
              <w:left w:w="140" w:type="dxa"/>
              <w:bottom w:w="15" w:type="dxa"/>
              <w:right w:w="140" w:type="dxa"/>
            </w:tcMar>
            <w:vAlign w:val="center"/>
          </w:tcPr>
          <w:p>
            <w:pPr>
              <w:spacing w:after="0" w:line="240" w:lineRule="auto"/>
              <w:rPr>
                <w:rFonts w:ascii="Arial" w:hAnsi="Arial" w:eastAsia="Times New Roman" w:cs="Arial"/>
                <w:color w:val="000000"/>
                <w:sz w:val="18"/>
                <w:szCs w:val="18"/>
              </w:rPr>
            </w:pPr>
            <w:r>
              <w:rPr>
                <w:rFonts w:ascii="Arial" w:hAnsi="Arial" w:eastAsia="Times New Roman" w:cs="Arial"/>
                <w:color w:val="000000"/>
                <w:sz w:val="18"/>
                <w:szCs w:val="18"/>
              </w:rPr>
              <w:t>Kepercayaan</w:t>
            </w:r>
          </w:p>
        </w:tc>
        <w:tc>
          <w:tcPr>
            <w:tcW w:w="1061" w:type="dxa"/>
            <w:tcMar>
              <w:top w:w="15" w:type="dxa"/>
              <w:left w:w="57" w:type="dxa"/>
              <w:bottom w:w="15" w:type="dxa"/>
              <w:right w:w="57" w:type="dxa"/>
            </w:tcMar>
            <w:vAlign w:val="center"/>
          </w:tcPr>
          <w:p>
            <w:pPr>
              <w:spacing w:after="0" w:line="240" w:lineRule="auto"/>
              <w:jc w:val="right"/>
              <w:rPr>
                <w:rFonts w:ascii="Arial" w:hAnsi="Arial" w:eastAsia="Times New Roman" w:cs="Arial"/>
                <w:color w:val="000000"/>
                <w:sz w:val="18"/>
                <w:szCs w:val="18"/>
              </w:rPr>
            </w:pPr>
            <w:r>
              <w:rPr>
                <w:rFonts w:ascii="Arial" w:hAnsi="Arial" w:eastAsia="Times New Roman" w:cs="Arial"/>
                <w:color w:val="000000"/>
                <w:sz w:val="18"/>
                <w:szCs w:val="18"/>
              </w:rPr>
              <w:t>.734</w:t>
            </w:r>
          </w:p>
        </w:tc>
        <w:tc>
          <w:tcPr>
            <w:tcW w:w="822" w:type="dxa"/>
            <w:tcMar>
              <w:top w:w="15" w:type="dxa"/>
              <w:left w:w="57" w:type="dxa"/>
              <w:bottom w:w="15" w:type="dxa"/>
              <w:right w:w="57" w:type="dxa"/>
            </w:tcMar>
            <w:vAlign w:val="center"/>
          </w:tcPr>
          <w:p>
            <w:pPr>
              <w:spacing w:after="0" w:line="240" w:lineRule="auto"/>
              <w:jc w:val="right"/>
              <w:rPr>
                <w:rFonts w:ascii="Arial" w:hAnsi="Arial" w:eastAsia="Times New Roman" w:cs="Arial"/>
                <w:color w:val="000000"/>
                <w:sz w:val="18"/>
                <w:szCs w:val="18"/>
              </w:rPr>
            </w:pPr>
            <w:r>
              <w:rPr>
                <w:rFonts w:ascii="Arial" w:hAnsi="Arial" w:eastAsia="Times New Roman" w:cs="Arial"/>
                <w:color w:val="000000"/>
                <w:sz w:val="18"/>
                <w:szCs w:val="18"/>
              </w:rPr>
              <w:t>.299</w:t>
            </w:r>
          </w:p>
        </w:tc>
        <w:tc>
          <w:tcPr>
            <w:tcW w:w="846" w:type="dxa"/>
            <w:tcMar>
              <w:top w:w="15" w:type="dxa"/>
              <w:left w:w="57" w:type="dxa"/>
              <w:bottom w:w="15" w:type="dxa"/>
              <w:right w:w="57" w:type="dxa"/>
            </w:tcMar>
            <w:vAlign w:val="center"/>
          </w:tcPr>
          <w:p>
            <w:pPr>
              <w:spacing w:after="0" w:line="240" w:lineRule="auto"/>
              <w:jc w:val="right"/>
              <w:rPr>
                <w:rFonts w:ascii="Arial" w:hAnsi="Arial" w:eastAsia="Times New Roman" w:cs="Arial"/>
                <w:color w:val="000000"/>
                <w:sz w:val="18"/>
                <w:szCs w:val="18"/>
              </w:rPr>
            </w:pPr>
            <w:r>
              <w:rPr>
                <w:rFonts w:ascii="Arial" w:hAnsi="Arial" w:eastAsia="Times New Roman" w:cs="Arial"/>
                <w:color w:val="000000"/>
                <w:sz w:val="18"/>
                <w:szCs w:val="18"/>
              </w:rPr>
              <w:t>2.453</w:t>
            </w:r>
          </w:p>
        </w:tc>
        <w:tc>
          <w:tcPr>
            <w:tcW w:w="677" w:type="dxa"/>
            <w:tcMar>
              <w:top w:w="15" w:type="dxa"/>
              <w:left w:w="57" w:type="dxa"/>
              <w:bottom w:w="15" w:type="dxa"/>
              <w:right w:w="57" w:type="dxa"/>
            </w:tcMar>
            <w:vAlign w:val="center"/>
          </w:tcPr>
          <w:p>
            <w:pPr>
              <w:spacing w:after="0" w:line="240" w:lineRule="auto"/>
              <w:jc w:val="right"/>
              <w:rPr>
                <w:rFonts w:ascii="Arial" w:hAnsi="Arial" w:eastAsia="Times New Roman" w:cs="Arial"/>
                <w:color w:val="000000"/>
                <w:sz w:val="18"/>
                <w:szCs w:val="18"/>
              </w:rPr>
            </w:pPr>
            <w:r>
              <w:rPr>
                <w:rFonts w:ascii="Arial" w:hAnsi="Arial" w:eastAsia="Times New Roman" w:cs="Arial"/>
                <w:color w:val="000000"/>
                <w:sz w:val="18"/>
                <w:szCs w:val="18"/>
              </w:rPr>
              <w:t>.014</w:t>
            </w:r>
          </w:p>
        </w:tc>
        <w:tc>
          <w:tcPr>
            <w:tcW w:w="834" w:type="dxa"/>
            <w:tcMar>
              <w:top w:w="15" w:type="dxa"/>
              <w:left w:w="57" w:type="dxa"/>
              <w:bottom w:w="15" w:type="dxa"/>
              <w:right w:w="57" w:type="dxa"/>
            </w:tcMar>
            <w:vAlign w:val="center"/>
          </w:tcPr>
          <w:p>
            <w:pPr>
              <w:spacing w:after="0" w:line="240" w:lineRule="auto"/>
              <w:rPr>
                <w:rFonts w:ascii="Arial" w:hAnsi="Arial" w:eastAsia="Times New Roman" w:cs="Arial"/>
                <w:color w:val="000000"/>
                <w:sz w:val="18"/>
                <w:szCs w:val="18"/>
              </w:rPr>
            </w:pPr>
            <w:r>
              <w:rPr>
                <w:rFonts w:ascii="Arial" w:hAnsi="Arial" w:eastAsia="Times New Roman" w:cs="Arial"/>
                <w:color w:val="000000"/>
                <w:sz w:val="18"/>
                <w:szCs w:val="18"/>
              </w:rPr>
              <w:t>par_13</w:t>
            </w:r>
          </w:p>
        </w:tc>
      </w:tr>
      <w:tr>
        <w:tblPrEx>
          <w:tblBorders>
            <w:top w:val="single" w:color="auto" w:sz="24" w:space="0"/>
            <w:left w:val="none" w:color="auto" w:sz="0" w:space="0"/>
            <w:bottom w:val="single" w:color="auto" w:sz="24"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59" w:hRule="atLeast"/>
        </w:trPr>
        <w:tc>
          <w:tcPr>
            <w:tcW w:w="1833" w:type="dxa"/>
            <w:tcMar>
              <w:top w:w="15" w:type="dxa"/>
              <w:left w:w="57" w:type="dxa"/>
              <w:bottom w:w="15" w:type="dxa"/>
              <w:right w:w="57" w:type="dxa"/>
            </w:tcMar>
            <w:vAlign w:val="center"/>
          </w:tcPr>
          <w:p>
            <w:pPr>
              <w:spacing w:after="0" w:line="240" w:lineRule="auto"/>
              <w:rPr>
                <w:rFonts w:ascii="Arial" w:hAnsi="Arial" w:eastAsia="Times New Roman" w:cs="Arial"/>
                <w:color w:val="000000"/>
                <w:sz w:val="18"/>
                <w:szCs w:val="18"/>
              </w:rPr>
            </w:pPr>
            <w:r>
              <w:rPr>
                <w:rFonts w:ascii="Arial" w:hAnsi="Arial" w:eastAsia="Times New Roman" w:cs="Arial"/>
                <w:color w:val="000000"/>
                <w:sz w:val="18"/>
                <w:szCs w:val="18"/>
              </w:rPr>
              <w:t>Kepuasan_Nasabah</w:t>
            </w:r>
          </w:p>
        </w:tc>
        <w:tc>
          <w:tcPr>
            <w:tcW w:w="423" w:type="dxa"/>
            <w:tcMar>
              <w:top w:w="15" w:type="dxa"/>
              <w:left w:w="57" w:type="dxa"/>
              <w:bottom w:w="15" w:type="dxa"/>
              <w:right w:w="57" w:type="dxa"/>
            </w:tcMar>
            <w:vAlign w:val="center"/>
          </w:tcPr>
          <w:p>
            <w:pPr>
              <w:spacing w:after="0" w:line="240" w:lineRule="auto"/>
              <w:rPr>
                <w:rFonts w:ascii="Arial" w:hAnsi="Arial" w:eastAsia="Times New Roman" w:cs="Arial"/>
                <w:color w:val="000000"/>
                <w:sz w:val="18"/>
                <w:szCs w:val="18"/>
              </w:rPr>
            </w:pPr>
            <w:r>
              <w:rPr>
                <w:rFonts w:ascii="Arial" w:hAnsi="Arial" w:eastAsia="Times New Roman" w:cs="Arial"/>
                <w:color w:val="000000"/>
                <w:sz w:val="18"/>
                <w:szCs w:val="18"/>
              </w:rPr>
              <w:t>&lt;---</w:t>
            </w:r>
          </w:p>
        </w:tc>
        <w:tc>
          <w:tcPr>
            <w:tcW w:w="1973" w:type="dxa"/>
            <w:tcMar>
              <w:top w:w="15" w:type="dxa"/>
              <w:left w:w="140" w:type="dxa"/>
              <w:bottom w:w="15" w:type="dxa"/>
              <w:right w:w="140" w:type="dxa"/>
            </w:tcMar>
            <w:vAlign w:val="center"/>
          </w:tcPr>
          <w:p>
            <w:pPr>
              <w:spacing w:after="0" w:line="240" w:lineRule="auto"/>
              <w:rPr>
                <w:rFonts w:ascii="Arial" w:hAnsi="Arial" w:eastAsia="Times New Roman" w:cs="Arial"/>
                <w:color w:val="000000"/>
                <w:sz w:val="18"/>
                <w:szCs w:val="18"/>
              </w:rPr>
            </w:pPr>
            <w:r>
              <w:rPr>
                <w:rFonts w:ascii="Arial" w:hAnsi="Arial" w:eastAsia="Times New Roman" w:cs="Arial"/>
                <w:color w:val="000000"/>
                <w:sz w:val="18"/>
                <w:szCs w:val="18"/>
              </w:rPr>
              <w:t>Nilai_Nasabah</w:t>
            </w:r>
          </w:p>
        </w:tc>
        <w:tc>
          <w:tcPr>
            <w:tcW w:w="1061" w:type="dxa"/>
            <w:tcMar>
              <w:top w:w="15" w:type="dxa"/>
              <w:left w:w="57" w:type="dxa"/>
              <w:bottom w:w="15" w:type="dxa"/>
              <w:right w:w="57" w:type="dxa"/>
            </w:tcMar>
            <w:vAlign w:val="center"/>
          </w:tcPr>
          <w:p>
            <w:pPr>
              <w:spacing w:after="0" w:line="240" w:lineRule="auto"/>
              <w:jc w:val="right"/>
              <w:rPr>
                <w:rFonts w:ascii="Arial" w:hAnsi="Arial" w:eastAsia="Times New Roman" w:cs="Arial"/>
                <w:color w:val="000000"/>
                <w:sz w:val="18"/>
                <w:szCs w:val="18"/>
              </w:rPr>
            </w:pPr>
            <w:r>
              <w:rPr>
                <w:rFonts w:ascii="Arial" w:hAnsi="Arial" w:eastAsia="Times New Roman" w:cs="Arial"/>
                <w:color w:val="000000"/>
                <w:sz w:val="18"/>
                <w:szCs w:val="18"/>
              </w:rPr>
              <w:t>-.125</w:t>
            </w:r>
          </w:p>
        </w:tc>
        <w:tc>
          <w:tcPr>
            <w:tcW w:w="822" w:type="dxa"/>
            <w:tcMar>
              <w:top w:w="15" w:type="dxa"/>
              <w:left w:w="57" w:type="dxa"/>
              <w:bottom w:w="15" w:type="dxa"/>
              <w:right w:w="57" w:type="dxa"/>
            </w:tcMar>
            <w:vAlign w:val="center"/>
          </w:tcPr>
          <w:p>
            <w:pPr>
              <w:spacing w:after="0" w:line="240" w:lineRule="auto"/>
              <w:jc w:val="right"/>
              <w:rPr>
                <w:rFonts w:ascii="Arial" w:hAnsi="Arial" w:eastAsia="Times New Roman" w:cs="Arial"/>
                <w:color w:val="000000"/>
                <w:sz w:val="18"/>
                <w:szCs w:val="18"/>
              </w:rPr>
            </w:pPr>
            <w:r>
              <w:rPr>
                <w:rFonts w:ascii="Arial" w:hAnsi="Arial" w:eastAsia="Times New Roman" w:cs="Arial"/>
                <w:color w:val="000000"/>
                <w:sz w:val="18"/>
                <w:szCs w:val="18"/>
              </w:rPr>
              <w:t>.172</w:t>
            </w:r>
          </w:p>
        </w:tc>
        <w:tc>
          <w:tcPr>
            <w:tcW w:w="846" w:type="dxa"/>
            <w:tcMar>
              <w:top w:w="15" w:type="dxa"/>
              <w:left w:w="57" w:type="dxa"/>
              <w:bottom w:w="15" w:type="dxa"/>
              <w:right w:w="57" w:type="dxa"/>
            </w:tcMar>
            <w:vAlign w:val="center"/>
          </w:tcPr>
          <w:p>
            <w:pPr>
              <w:spacing w:after="0" w:line="240" w:lineRule="auto"/>
              <w:jc w:val="right"/>
              <w:rPr>
                <w:rFonts w:ascii="Arial" w:hAnsi="Arial" w:eastAsia="Times New Roman" w:cs="Arial"/>
                <w:color w:val="000000"/>
                <w:sz w:val="18"/>
                <w:szCs w:val="18"/>
              </w:rPr>
            </w:pPr>
            <w:r>
              <w:rPr>
                <w:rFonts w:ascii="Arial" w:hAnsi="Arial" w:eastAsia="Times New Roman" w:cs="Arial"/>
                <w:color w:val="000000"/>
                <w:sz w:val="18"/>
                <w:szCs w:val="18"/>
              </w:rPr>
              <w:t>-.728</w:t>
            </w:r>
          </w:p>
        </w:tc>
        <w:tc>
          <w:tcPr>
            <w:tcW w:w="677" w:type="dxa"/>
            <w:tcMar>
              <w:top w:w="15" w:type="dxa"/>
              <w:left w:w="57" w:type="dxa"/>
              <w:bottom w:w="15" w:type="dxa"/>
              <w:right w:w="57" w:type="dxa"/>
            </w:tcMar>
            <w:vAlign w:val="center"/>
          </w:tcPr>
          <w:p>
            <w:pPr>
              <w:spacing w:after="0" w:line="240" w:lineRule="auto"/>
              <w:jc w:val="right"/>
              <w:rPr>
                <w:rFonts w:ascii="Arial" w:hAnsi="Arial" w:eastAsia="Times New Roman" w:cs="Arial"/>
                <w:color w:val="000000"/>
                <w:sz w:val="18"/>
                <w:szCs w:val="18"/>
              </w:rPr>
            </w:pPr>
            <w:r>
              <w:rPr>
                <w:rFonts w:ascii="Arial" w:hAnsi="Arial" w:eastAsia="Times New Roman" w:cs="Arial"/>
                <w:color w:val="000000"/>
                <w:sz w:val="18"/>
                <w:szCs w:val="18"/>
              </w:rPr>
              <w:t>.467</w:t>
            </w:r>
          </w:p>
        </w:tc>
        <w:tc>
          <w:tcPr>
            <w:tcW w:w="834" w:type="dxa"/>
            <w:tcMar>
              <w:top w:w="15" w:type="dxa"/>
              <w:left w:w="57" w:type="dxa"/>
              <w:bottom w:w="15" w:type="dxa"/>
              <w:right w:w="57" w:type="dxa"/>
            </w:tcMar>
            <w:vAlign w:val="center"/>
          </w:tcPr>
          <w:p>
            <w:pPr>
              <w:spacing w:after="0" w:line="240" w:lineRule="auto"/>
              <w:rPr>
                <w:rFonts w:ascii="Arial" w:hAnsi="Arial" w:eastAsia="Times New Roman" w:cs="Arial"/>
                <w:color w:val="000000"/>
                <w:sz w:val="18"/>
                <w:szCs w:val="18"/>
              </w:rPr>
            </w:pPr>
            <w:r>
              <w:rPr>
                <w:rFonts w:ascii="Arial" w:hAnsi="Arial" w:eastAsia="Times New Roman" w:cs="Arial"/>
                <w:color w:val="000000"/>
                <w:sz w:val="18"/>
                <w:szCs w:val="18"/>
              </w:rPr>
              <w:t>par_14</w:t>
            </w:r>
          </w:p>
        </w:tc>
      </w:tr>
      <w:tr>
        <w:tblPrEx>
          <w:tblBorders>
            <w:top w:val="single" w:color="auto" w:sz="24" w:space="0"/>
            <w:left w:val="none" w:color="auto" w:sz="0" w:space="0"/>
            <w:bottom w:val="single" w:color="auto" w:sz="24"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78" w:hRule="atLeast"/>
        </w:trPr>
        <w:tc>
          <w:tcPr>
            <w:tcW w:w="1833" w:type="dxa"/>
            <w:tcMar>
              <w:top w:w="15" w:type="dxa"/>
              <w:left w:w="57" w:type="dxa"/>
              <w:bottom w:w="15" w:type="dxa"/>
              <w:right w:w="57" w:type="dxa"/>
            </w:tcMar>
            <w:vAlign w:val="center"/>
          </w:tcPr>
          <w:p>
            <w:pPr>
              <w:spacing w:after="0" w:line="240" w:lineRule="auto"/>
              <w:rPr>
                <w:rFonts w:ascii="Arial" w:hAnsi="Arial" w:eastAsia="Times New Roman" w:cs="Arial"/>
                <w:i/>
                <w:color w:val="000000"/>
                <w:sz w:val="18"/>
                <w:szCs w:val="18"/>
              </w:rPr>
            </w:pPr>
            <w:r>
              <w:rPr>
                <w:rFonts w:ascii="Arial" w:hAnsi="Arial" w:eastAsia="Times New Roman" w:cs="Arial"/>
                <w:i/>
                <w:color w:val="000000"/>
                <w:sz w:val="18"/>
                <w:szCs w:val="18"/>
              </w:rPr>
              <w:t>Customer_Retention</w:t>
            </w:r>
          </w:p>
        </w:tc>
        <w:tc>
          <w:tcPr>
            <w:tcW w:w="423" w:type="dxa"/>
            <w:tcMar>
              <w:top w:w="15" w:type="dxa"/>
              <w:left w:w="57" w:type="dxa"/>
              <w:bottom w:w="15" w:type="dxa"/>
              <w:right w:w="57" w:type="dxa"/>
            </w:tcMar>
            <w:vAlign w:val="center"/>
          </w:tcPr>
          <w:p>
            <w:pPr>
              <w:spacing w:after="0" w:line="240" w:lineRule="auto"/>
              <w:rPr>
                <w:rFonts w:ascii="Arial" w:hAnsi="Arial" w:eastAsia="Times New Roman" w:cs="Arial"/>
                <w:color w:val="000000"/>
                <w:sz w:val="18"/>
                <w:szCs w:val="18"/>
              </w:rPr>
            </w:pPr>
            <w:r>
              <w:rPr>
                <w:rFonts w:ascii="Arial" w:hAnsi="Arial" w:eastAsia="Times New Roman" w:cs="Arial"/>
                <w:color w:val="000000"/>
                <w:sz w:val="18"/>
                <w:szCs w:val="18"/>
              </w:rPr>
              <w:t>&lt;---</w:t>
            </w:r>
          </w:p>
        </w:tc>
        <w:tc>
          <w:tcPr>
            <w:tcW w:w="1973" w:type="dxa"/>
            <w:tcMar>
              <w:top w:w="15" w:type="dxa"/>
              <w:left w:w="140" w:type="dxa"/>
              <w:bottom w:w="15" w:type="dxa"/>
              <w:right w:w="140" w:type="dxa"/>
            </w:tcMar>
            <w:vAlign w:val="center"/>
          </w:tcPr>
          <w:p>
            <w:pPr>
              <w:spacing w:after="0" w:line="240" w:lineRule="auto"/>
              <w:rPr>
                <w:rFonts w:ascii="Arial" w:hAnsi="Arial" w:eastAsia="Times New Roman" w:cs="Arial"/>
                <w:color w:val="000000"/>
                <w:sz w:val="18"/>
                <w:szCs w:val="18"/>
              </w:rPr>
            </w:pPr>
            <w:r>
              <w:rPr>
                <w:rFonts w:ascii="Arial" w:hAnsi="Arial" w:eastAsia="Times New Roman" w:cs="Arial"/>
                <w:color w:val="000000"/>
                <w:sz w:val="18"/>
                <w:szCs w:val="18"/>
              </w:rPr>
              <w:t>Kepuasan_Nasabah</w:t>
            </w:r>
          </w:p>
        </w:tc>
        <w:tc>
          <w:tcPr>
            <w:tcW w:w="1061" w:type="dxa"/>
            <w:tcMar>
              <w:top w:w="15" w:type="dxa"/>
              <w:left w:w="57" w:type="dxa"/>
              <w:bottom w:w="15" w:type="dxa"/>
              <w:right w:w="57" w:type="dxa"/>
            </w:tcMar>
            <w:vAlign w:val="center"/>
          </w:tcPr>
          <w:p>
            <w:pPr>
              <w:spacing w:after="0" w:line="240" w:lineRule="auto"/>
              <w:jc w:val="right"/>
              <w:rPr>
                <w:rFonts w:ascii="Arial" w:hAnsi="Arial" w:eastAsia="Times New Roman" w:cs="Arial"/>
                <w:color w:val="000000"/>
                <w:sz w:val="18"/>
                <w:szCs w:val="18"/>
              </w:rPr>
            </w:pPr>
            <w:r>
              <w:rPr>
                <w:rFonts w:ascii="Arial" w:hAnsi="Arial" w:eastAsia="Times New Roman" w:cs="Arial"/>
                <w:color w:val="000000"/>
                <w:sz w:val="18"/>
                <w:szCs w:val="18"/>
              </w:rPr>
              <w:t>.843</w:t>
            </w:r>
          </w:p>
        </w:tc>
        <w:tc>
          <w:tcPr>
            <w:tcW w:w="822" w:type="dxa"/>
            <w:tcMar>
              <w:top w:w="15" w:type="dxa"/>
              <w:left w:w="57" w:type="dxa"/>
              <w:bottom w:w="15" w:type="dxa"/>
              <w:right w:w="57" w:type="dxa"/>
            </w:tcMar>
            <w:vAlign w:val="center"/>
          </w:tcPr>
          <w:p>
            <w:pPr>
              <w:spacing w:after="0" w:line="240" w:lineRule="auto"/>
              <w:jc w:val="right"/>
              <w:rPr>
                <w:rFonts w:ascii="Arial" w:hAnsi="Arial" w:eastAsia="Times New Roman" w:cs="Arial"/>
                <w:color w:val="000000"/>
                <w:sz w:val="18"/>
                <w:szCs w:val="18"/>
              </w:rPr>
            </w:pPr>
            <w:r>
              <w:rPr>
                <w:rFonts w:ascii="Arial" w:hAnsi="Arial" w:eastAsia="Times New Roman" w:cs="Arial"/>
                <w:color w:val="000000"/>
                <w:sz w:val="18"/>
                <w:szCs w:val="18"/>
              </w:rPr>
              <w:t>.113</w:t>
            </w:r>
          </w:p>
        </w:tc>
        <w:tc>
          <w:tcPr>
            <w:tcW w:w="846" w:type="dxa"/>
            <w:tcMar>
              <w:top w:w="15" w:type="dxa"/>
              <w:left w:w="57" w:type="dxa"/>
              <w:bottom w:w="15" w:type="dxa"/>
              <w:right w:w="57" w:type="dxa"/>
            </w:tcMar>
            <w:vAlign w:val="center"/>
          </w:tcPr>
          <w:p>
            <w:pPr>
              <w:spacing w:after="0" w:line="240" w:lineRule="auto"/>
              <w:jc w:val="right"/>
              <w:rPr>
                <w:rFonts w:ascii="Arial" w:hAnsi="Arial" w:eastAsia="Times New Roman" w:cs="Arial"/>
                <w:color w:val="000000"/>
                <w:sz w:val="18"/>
                <w:szCs w:val="18"/>
              </w:rPr>
            </w:pPr>
            <w:r>
              <w:rPr>
                <w:rFonts w:ascii="Arial" w:hAnsi="Arial" w:eastAsia="Times New Roman" w:cs="Arial"/>
                <w:color w:val="000000"/>
                <w:sz w:val="18"/>
                <w:szCs w:val="18"/>
              </w:rPr>
              <w:t>7.494</w:t>
            </w:r>
          </w:p>
        </w:tc>
        <w:tc>
          <w:tcPr>
            <w:tcW w:w="677" w:type="dxa"/>
            <w:tcMar>
              <w:top w:w="15" w:type="dxa"/>
              <w:left w:w="57" w:type="dxa"/>
              <w:bottom w:w="15" w:type="dxa"/>
              <w:right w:w="57" w:type="dxa"/>
            </w:tcMar>
            <w:vAlign w:val="center"/>
          </w:tcPr>
          <w:p>
            <w:pPr>
              <w:spacing w:after="0" w:line="240" w:lineRule="auto"/>
              <w:jc w:val="right"/>
              <w:rPr>
                <w:rFonts w:ascii="Arial" w:hAnsi="Arial" w:eastAsia="Times New Roman" w:cs="Arial"/>
                <w:color w:val="000000"/>
                <w:sz w:val="18"/>
                <w:szCs w:val="18"/>
              </w:rPr>
            </w:pPr>
            <w:r>
              <w:rPr>
                <w:rFonts w:ascii="Arial" w:hAnsi="Arial" w:eastAsia="Times New Roman" w:cs="Arial"/>
                <w:color w:val="000000"/>
                <w:sz w:val="18"/>
                <w:szCs w:val="18"/>
              </w:rPr>
              <w:t>***</w:t>
            </w:r>
          </w:p>
        </w:tc>
        <w:tc>
          <w:tcPr>
            <w:tcW w:w="834" w:type="dxa"/>
            <w:tcMar>
              <w:top w:w="15" w:type="dxa"/>
              <w:left w:w="57" w:type="dxa"/>
              <w:bottom w:w="15" w:type="dxa"/>
              <w:right w:w="57" w:type="dxa"/>
            </w:tcMar>
            <w:vAlign w:val="center"/>
          </w:tcPr>
          <w:p>
            <w:pPr>
              <w:spacing w:after="0" w:line="240" w:lineRule="auto"/>
              <w:rPr>
                <w:rFonts w:ascii="Arial" w:hAnsi="Arial" w:eastAsia="Times New Roman" w:cs="Arial"/>
                <w:color w:val="000000"/>
                <w:sz w:val="18"/>
                <w:szCs w:val="18"/>
              </w:rPr>
            </w:pPr>
            <w:r>
              <w:rPr>
                <w:rFonts w:ascii="Arial" w:hAnsi="Arial" w:eastAsia="Times New Roman" w:cs="Arial"/>
                <w:color w:val="000000"/>
                <w:sz w:val="18"/>
                <w:szCs w:val="18"/>
              </w:rPr>
              <w:t>par_17</w:t>
            </w:r>
          </w:p>
        </w:tc>
      </w:tr>
    </w:tbl>
    <w:p>
      <w:pPr>
        <w:spacing w:after="0" w:line="240" w:lineRule="auto"/>
        <w:jc w:val="both"/>
        <w:rPr>
          <w:rFonts w:ascii="Arial" w:hAnsi="Arial" w:eastAsia="Times New Roman" w:cs="Arial"/>
          <w:bCs/>
          <w:color w:val="000000"/>
        </w:rPr>
      </w:pPr>
      <w:r>
        <w:rPr>
          <w:rFonts w:ascii="Arial" w:hAnsi="Arial" w:eastAsia="Times New Roman" w:cs="Arial"/>
          <w:bCs/>
          <w:color w:val="000000"/>
        </w:rPr>
        <w:t>Sumber: Gambar 9.</w:t>
      </w:r>
    </w:p>
    <w:p>
      <w:pPr>
        <w:spacing w:after="0" w:line="240" w:lineRule="auto"/>
        <w:jc w:val="both"/>
        <w:rPr>
          <w:rFonts w:ascii="Arial" w:hAnsi="Arial" w:eastAsia="Times New Roman" w:cs="Arial"/>
          <w:b/>
          <w:color w:val="000000"/>
        </w:rPr>
      </w:pPr>
    </w:p>
    <w:p>
      <w:pPr>
        <w:spacing w:after="0" w:line="240" w:lineRule="auto"/>
        <w:jc w:val="both"/>
        <w:rPr>
          <w:rFonts w:ascii="Arial" w:hAnsi="Arial" w:eastAsia="Times New Roman" w:cs="Arial"/>
          <w:b/>
          <w:color w:val="000000"/>
        </w:rPr>
        <w:sectPr>
          <w:type w:val="continuous"/>
          <w:pgSz w:w="11906" w:h="16838"/>
          <w:pgMar w:top="1701" w:right="1701" w:bottom="1701" w:left="1701" w:header="709" w:footer="587" w:gutter="0"/>
          <w:cols w:space="708" w:num="1"/>
          <w:docGrid w:linePitch="360" w:charSpace="0"/>
        </w:sectPr>
      </w:pPr>
    </w:p>
    <w:p>
      <w:pPr>
        <w:spacing w:after="0" w:line="240" w:lineRule="auto"/>
        <w:ind w:firstLine="426"/>
        <w:jc w:val="both"/>
        <w:rPr>
          <w:rFonts w:ascii="Arial" w:hAnsi="Arial" w:eastAsia="Times New Roman" w:cs="Arial"/>
          <w:color w:val="000000"/>
        </w:rPr>
      </w:pPr>
      <w:r>
        <w:rPr>
          <w:rFonts w:ascii="Arial" w:hAnsi="Arial" w:cs="Arial"/>
          <w:color w:val="000000"/>
        </w:rPr>
        <w:t xml:space="preserve">Hasil di atas menunjukkan bahwa variabel kualitas pelayanan berpengaruh tidak signifikan terhadap kepuasan nasabah yang ditunjukkan dengan nilai </w:t>
      </w:r>
      <w:r>
        <w:rPr>
          <w:rFonts w:ascii="Arial" w:hAnsi="Arial" w:cs="Arial"/>
          <w:i/>
          <w:color w:val="000000"/>
        </w:rPr>
        <w:t>critical ratio</w:t>
      </w:r>
      <w:r>
        <w:rPr>
          <w:rFonts w:ascii="Arial" w:hAnsi="Arial" w:cs="Arial"/>
          <w:color w:val="000000"/>
        </w:rPr>
        <w:t xml:space="preserve"> sebesar – 1,680 dan nilai probabilitas sebesar 0,114. Variabel kualitas produk berpengaruh signifikan terhadap kepuasan nasabah yang ditunjukkan dengan nilai </w:t>
      </w:r>
      <w:r>
        <w:rPr>
          <w:rFonts w:ascii="Arial" w:hAnsi="Arial" w:cs="Arial"/>
          <w:i/>
          <w:color w:val="000000"/>
        </w:rPr>
        <w:t>critical ratio</w:t>
      </w:r>
      <w:r>
        <w:rPr>
          <w:rFonts w:ascii="Arial" w:hAnsi="Arial" w:cs="Arial"/>
          <w:color w:val="000000"/>
        </w:rPr>
        <w:t xml:space="preserve"> sebesar 3,037 dan nilai probabilitas sebesar 0,002. Variabel kepercayaan berpengaruh signifikan terhadap kepuasan nasabah yang ditunjukkan dengan nilai </w:t>
      </w:r>
      <w:r>
        <w:rPr>
          <w:rFonts w:ascii="Arial" w:hAnsi="Arial" w:cs="Arial"/>
          <w:i/>
          <w:color w:val="000000"/>
        </w:rPr>
        <w:t>critical ratio</w:t>
      </w:r>
      <w:r>
        <w:rPr>
          <w:rFonts w:ascii="Arial" w:hAnsi="Arial" w:cs="Arial"/>
          <w:color w:val="000000"/>
        </w:rPr>
        <w:t xml:space="preserve"> sebesar 2,453 dan nilai probabilitas sebesar 0,014. Variabel nilai nasabah berpengaruh tidak signifikan terhadap kepuasan nasabah yang ditunjukkan dengan nilai </w:t>
      </w:r>
      <w:r>
        <w:rPr>
          <w:rFonts w:ascii="Arial" w:hAnsi="Arial" w:cs="Arial"/>
          <w:i/>
          <w:color w:val="000000"/>
        </w:rPr>
        <w:t>critical ratio</w:t>
      </w:r>
      <w:r>
        <w:rPr>
          <w:rFonts w:ascii="Arial" w:hAnsi="Arial" w:cs="Arial"/>
          <w:color w:val="000000"/>
        </w:rPr>
        <w:t xml:space="preserve"> sebesar – 0,728 dan nilai probabilitas sebesar 0,467. Variabel kepuasan nasabah berpengaruh signifikan terhadap </w:t>
      </w:r>
      <w:r>
        <w:rPr>
          <w:rFonts w:ascii="Arial" w:hAnsi="Arial" w:cs="Arial"/>
          <w:i/>
          <w:color w:val="000000"/>
        </w:rPr>
        <w:t>customer retention</w:t>
      </w:r>
      <w:r>
        <w:rPr>
          <w:rFonts w:ascii="Arial" w:hAnsi="Arial" w:cs="Arial"/>
          <w:color w:val="000000"/>
        </w:rPr>
        <w:t xml:space="preserve"> yang ditunjukkan dengan nilai </w:t>
      </w:r>
      <w:r>
        <w:rPr>
          <w:rFonts w:ascii="Arial" w:hAnsi="Arial" w:cs="Arial"/>
          <w:i/>
          <w:color w:val="000000"/>
        </w:rPr>
        <w:t>critical ratio</w:t>
      </w:r>
      <w:r>
        <w:rPr>
          <w:rFonts w:ascii="Arial" w:hAnsi="Arial" w:cs="Arial"/>
          <w:color w:val="000000"/>
        </w:rPr>
        <w:t xml:space="preserve"> sebesar 7,494 dan nilai probabilitas sebesar 0,000. Model persamaan dari hubungan antar variabel dapat diformulasikan sebagai berikut: </w:t>
      </w:r>
    </w:p>
    <w:p>
      <w:pPr>
        <w:autoSpaceDE w:val="0"/>
        <w:autoSpaceDN w:val="0"/>
        <w:adjustRightInd w:val="0"/>
        <w:spacing w:after="0" w:line="240" w:lineRule="auto"/>
        <w:ind w:left="709" w:hanging="709"/>
        <w:jc w:val="both"/>
        <w:rPr>
          <w:rFonts w:ascii="Arial" w:hAnsi="Arial" w:cs="Arial"/>
          <w:b/>
          <w:bCs/>
          <w:color w:val="000000"/>
        </w:rPr>
      </w:pPr>
      <w:r>
        <w:rPr>
          <w:rFonts w:ascii="Arial" w:hAnsi="Arial" w:cs="Arial"/>
          <w:b/>
          <w:bCs/>
          <w:color w:val="000000"/>
        </w:rPr>
        <w:t>Y</w:t>
      </w:r>
      <w:r>
        <w:rPr>
          <w:rFonts w:ascii="Arial" w:hAnsi="Arial" w:cs="Arial"/>
          <w:b/>
          <w:bCs/>
          <w:color w:val="000000"/>
          <w:vertAlign w:val="subscript"/>
        </w:rPr>
        <w:t>1</w:t>
      </w:r>
      <w:r>
        <w:rPr>
          <w:rFonts w:ascii="Arial" w:hAnsi="Arial" w:cs="Arial"/>
          <w:b/>
          <w:bCs/>
          <w:color w:val="000000"/>
        </w:rPr>
        <w:t xml:space="preserve"> = </w:t>
      </w:r>
      <w:r>
        <w:rPr>
          <w:rFonts w:ascii="Arial" w:hAnsi="Arial" w:cs="Arial"/>
          <w:b/>
          <w:bCs/>
          <w:color w:val="000000"/>
        </w:rPr>
        <w:tab/>
      </w:r>
      <w:r>
        <w:rPr>
          <w:rFonts w:ascii="Arial" w:hAnsi="Arial" w:cs="Arial"/>
          <w:b/>
          <w:bCs/>
          <w:color w:val="000000"/>
        </w:rPr>
        <w:t>- 0,52 X</w:t>
      </w:r>
      <w:r>
        <w:rPr>
          <w:rFonts w:ascii="Arial" w:hAnsi="Arial" w:cs="Arial"/>
          <w:b/>
          <w:bCs/>
          <w:color w:val="000000"/>
          <w:vertAlign w:val="subscript"/>
        </w:rPr>
        <w:t>1</w:t>
      </w:r>
      <w:r>
        <w:rPr>
          <w:rFonts w:ascii="Arial" w:hAnsi="Arial" w:cs="Arial"/>
          <w:b/>
          <w:bCs/>
          <w:i/>
          <w:color w:val="000000"/>
        </w:rPr>
        <w:t xml:space="preserve"> + </w:t>
      </w:r>
      <w:r>
        <w:rPr>
          <w:rFonts w:ascii="Arial" w:hAnsi="Arial" w:cs="Arial"/>
          <w:b/>
          <w:bCs/>
          <w:iCs/>
          <w:color w:val="000000"/>
        </w:rPr>
        <w:t>0,84</w:t>
      </w:r>
      <w:r>
        <w:rPr>
          <w:rFonts w:ascii="Arial" w:hAnsi="Arial" w:cs="Arial"/>
          <w:b/>
          <w:bCs/>
          <w:i/>
          <w:color w:val="000000"/>
        </w:rPr>
        <w:t xml:space="preserve"> </w:t>
      </w:r>
      <w:r>
        <w:rPr>
          <w:rFonts w:ascii="Arial" w:hAnsi="Arial" w:cs="Arial"/>
          <w:b/>
          <w:bCs/>
          <w:color w:val="000000"/>
        </w:rPr>
        <w:t>X</w:t>
      </w:r>
      <w:r>
        <w:rPr>
          <w:rFonts w:ascii="Arial" w:hAnsi="Arial" w:cs="Arial"/>
          <w:b/>
          <w:bCs/>
          <w:color w:val="000000"/>
          <w:vertAlign w:val="subscript"/>
        </w:rPr>
        <w:t>2</w:t>
      </w:r>
      <w:r>
        <w:rPr>
          <w:rFonts w:ascii="Arial" w:hAnsi="Arial" w:cs="Arial"/>
          <w:b/>
          <w:bCs/>
          <w:i/>
          <w:color w:val="000000"/>
        </w:rPr>
        <w:t xml:space="preserve"> + </w:t>
      </w:r>
      <w:r>
        <w:rPr>
          <w:rFonts w:ascii="Arial" w:hAnsi="Arial" w:cs="Arial"/>
          <w:b/>
          <w:bCs/>
          <w:iCs/>
          <w:color w:val="000000"/>
        </w:rPr>
        <w:t xml:space="preserve">0,81 </w:t>
      </w:r>
      <w:r>
        <w:rPr>
          <w:rFonts w:ascii="Arial" w:hAnsi="Arial" w:cs="Arial"/>
          <w:b/>
          <w:bCs/>
          <w:color w:val="000000"/>
        </w:rPr>
        <w:t>X</w:t>
      </w:r>
      <w:r>
        <w:rPr>
          <w:rFonts w:ascii="Arial" w:hAnsi="Arial" w:cs="Arial"/>
          <w:b/>
          <w:bCs/>
          <w:color w:val="000000"/>
          <w:vertAlign w:val="subscript"/>
        </w:rPr>
        <w:t>3</w:t>
      </w:r>
      <w:r>
        <w:rPr>
          <w:rFonts w:ascii="Arial" w:hAnsi="Arial" w:cs="Arial"/>
          <w:b/>
          <w:bCs/>
          <w:i/>
          <w:color w:val="000000"/>
        </w:rPr>
        <w:t xml:space="preserve"> </w:t>
      </w:r>
      <w:r>
        <w:rPr>
          <w:rFonts w:ascii="Arial" w:hAnsi="Arial" w:cs="Arial"/>
          <w:b/>
          <w:bCs/>
          <w:color w:val="000000"/>
        </w:rPr>
        <w:t>–    0,16 X</w:t>
      </w:r>
      <w:r>
        <w:rPr>
          <w:rFonts w:ascii="Arial" w:hAnsi="Arial" w:cs="Arial"/>
          <w:b/>
          <w:bCs/>
          <w:color w:val="000000"/>
          <w:vertAlign w:val="subscript"/>
        </w:rPr>
        <w:t>4</w:t>
      </w:r>
      <w:r>
        <w:rPr>
          <w:rFonts w:ascii="Arial" w:hAnsi="Arial" w:cs="Arial"/>
          <w:b/>
          <w:bCs/>
          <w:i/>
          <w:color w:val="000000"/>
        </w:rPr>
        <w:t xml:space="preserve"> + </w:t>
      </w:r>
      <w:r>
        <w:rPr>
          <w:rFonts w:ascii="Arial" w:hAnsi="Arial" w:cs="Arial"/>
          <w:b/>
          <w:bCs/>
          <w:color w:val="000000"/>
        </w:rPr>
        <w:t>0,99 ζ</w:t>
      </w:r>
      <w:r>
        <w:rPr>
          <w:rFonts w:ascii="Arial" w:hAnsi="Arial" w:cs="Arial"/>
          <w:b/>
          <w:bCs/>
          <w:color w:val="000000"/>
          <w:vertAlign w:val="subscript"/>
        </w:rPr>
        <w:t>1</w:t>
      </w:r>
    </w:p>
    <w:p>
      <w:pPr>
        <w:autoSpaceDE w:val="0"/>
        <w:autoSpaceDN w:val="0"/>
        <w:adjustRightInd w:val="0"/>
        <w:spacing w:after="0" w:line="240" w:lineRule="auto"/>
        <w:ind w:left="709" w:hanging="709"/>
        <w:jc w:val="both"/>
        <w:rPr>
          <w:rFonts w:ascii="Arial" w:hAnsi="Arial" w:cs="Arial"/>
          <w:b/>
          <w:bCs/>
          <w:color w:val="000000"/>
        </w:rPr>
      </w:pPr>
      <w:r>
        <w:rPr>
          <w:rFonts w:ascii="Arial" w:hAnsi="Arial" w:cs="Arial"/>
          <w:b/>
          <w:bCs/>
          <w:color w:val="000000"/>
        </w:rPr>
        <w:t>Y</w:t>
      </w:r>
      <w:r>
        <w:rPr>
          <w:rFonts w:ascii="Arial" w:hAnsi="Arial" w:cs="Arial"/>
          <w:b/>
          <w:bCs/>
          <w:color w:val="000000"/>
          <w:vertAlign w:val="subscript"/>
        </w:rPr>
        <w:t>2</w:t>
      </w:r>
      <w:r>
        <w:rPr>
          <w:rFonts w:ascii="Arial" w:hAnsi="Arial" w:cs="Arial"/>
          <w:b/>
          <w:bCs/>
          <w:i/>
          <w:color w:val="000000"/>
        </w:rPr>
        <w:t xml:space="preserve"> </w:t>
      </w:r>
      <w:r>
        <w:rPr>
          <w:rFonts w:ascii="Arial" w:hAnsi="Arial" w:cs="Arial"/>
          <w:b/>
          <w:bCs/>
          <w:color w:val="000000"/>
        </w:rPr>
        <w:t xml:space="preserve">= </w:t>
      </w:r>
      <w:r>
        <w:rPr>
          <w:rFonts w:ascii="Arial" w:hAnsi="Arial" w:cs="Arial"/>
          <w:b/>
          <w:bCs/>
          <w:color w:val="000000"/>
        </w:rPr>
        <w:tab/>
      </w:r>
      <w:r>
        <w:rPr>
          <w:rFonts w:ascii="Arial" w:hAnsi="Arial" w:cs="Arial"/>
          <w:b/>
          <w:bCs/>
          <w:color w:val="000000"/>
        </w:rPr>
        <w:tab/>
      </w:r>
      <w:r>
        <w:rPr>
          <w:rFonts w:ascii="Arial" w:hAnsi="Arial" w:cs="Arial"/>
          <w:b/>
          <w:bCs/>
          <w:color w:val="000000"/>
        </w:rPr>
        <w:t>0,93 Y</w:t>
      </w:r>
      <w:r>
        <w:rPr>
          <w:rFonts w:ascii="Arial" w:hAnsi="Arial" w:cs="Arial"/>
          <w:b/>
          <w:bCs/>
          <w:color w:val="000000"/>
          <w:vertAlign w:val="subscript"/>
        </w:rPr>
        <w:t>1</w:t>
      </w:r>
      <w:r>
        <w:rPr>
          <w:rFonts w:ascii="Arial" w:hAnsi="Arial" w:cs="Arial"/>
          <w:b/>
          <w:bCs/>
          <w:color w:val="000000"/>
        </w:rPr>
        <w:t xml:space="preserve"> + 0,86 ζ</w:t>
      </w:r>
      <w:r>
        <w:rPr>
          <w:rFonts w:ascii="Arial" w:hAnsi="Arial" w:cs="Arial"/>
          <w:b/>
          <w:bCs/>
          <w:color w:val="000000"/>
          <w:vertAlign w:val="subscript"/>
        </w:rPr>
        <w:t>2</w:t>
      </w:r>
    </w:p>
    <w:p>
      <w:pPr>
        <w:spacing w:before="240" w:after="0" w:line="240" w:lineRule="auto"/>
        <w:jc w:val="both"/>
        <w:rPr>
          <w:rFonts w:ascii="Arial" w:hAnsi="Arial" w:eastAsia="Times New Roman" w:cs="Arial"/>
          <w:color w:val="000000"/>
        </w:rPr>
      </w:pPr>
      <w:r>
        <w:rPr>
          <w:rFonts w:ascii="Arial" w:hAnsi="Arial" w:eastAsia="Times New Roman" w:cs="Arial"/>
          <w:color w:val="000000"/>
        </w:rPr>
        <w:t>Keterangan:</w:t>
      </w:r>
    </w:p>
    <w:p>
      <w:pPr>
        <w:spacing w:after="0" w:line="240" w:lineRule="auto"/>
        <w:jc w:val="both"/>
        <w:rPr>
          <w:rFonts w:ascii="Arial" w:hAnsi="Arial" w:cs="Arial"/>
          <w:bCs/>
          <w:i/>
          <w:color w:val="000000"/>
        </w:rPr>
      </w:pPr>
      <w:r>
        <w:rPr>
          <w:rFonts w:ascii="Arial" w:hAnsi="Arial" w:cs="Arial"/>
          <w:bCs/>
          <w:color w:val="000000"/>
        </w:rPr>
        <w:t>Y</w:t>
      </w:r>
      <w:r>
        <w:rPr>
          <w:rFonts w:ascii="Arial" w:hAnsi="Arial" w:cs="Arial"/>
          <w:bCs/>
          <w:color w:val="000000"/>
          <w:vertAlign w:val="subscript"/>
        </w:rPr>
        <w:t xml:space="preserve">2 </w:t>
      </w:r>
      <w:r>
        <w:rPr>
          <w:rFonts w:ascii="Arial" w:hAnsi="Arial" w:cs="Arial"/>
          <w:bCs/>
          <w:color w:val="000000"/>
        </w:rPr>
        <w:t xml:space="preserve">= </w:t>
      </w:r>
      <w:r>
        <w:rPr>
          <w:rFonts w:ascii="Arial" w:hAnsi="Arial" w:cs="Arial"/>
          <w:bCs/>
          <w:i/>
          <w:color w:val="000000"/>
        </w:rPr>
        <w:t>Customer Retention</w:t>
      </w:r>
    </w:p>
    <w:p>
      <w:pPr>
        <w:spacing w:after="0" w:line="240" w:lineRule="auto"/>
        <w:jc w:val="both"/>
        <w:rPr>
          <w:rFonts w:ascii="Arial" w:hAnsi="Arial" w:cs="Arial"/>
          <w:color w:val="000000"/>
          <w:vertAlign w:val="subscript"/>
        </w:rPr>
      </w:pPr>
      <w:r>
        <w:rPr>
          <w:rFonts w:ascii="Arial" w:hAnsi="Arial" w:cs="Arial"/>
          <w:color w:val="000000"/>
        </w:rPr>
        <w:t>Y</w:t>
      </w:r>
      <w:r>
        <w:rPr>
          <w:rFonts w:ascii="Arial" w:hAnsi="Arial" w:cs="Arial"/>
          <w:color w:val="000000"/>
          <w:vertAlign w:val="subscript"/>
        </w:rPr>
        <w:t xml:space="preserve">1 </w:t>
      </w:r>
      <w:r>
        <w:rPr>
          <w:rFonts w:ascii="Arial" w:hAnsi="Arial" w:cs="Arial"/>
          <w:color w:val="000000"/>
        </w:rPr>
        <w:t>= Kepuasan Nasabah</w:t>
      </w:r>
    </w:p>
    <w:p>
      <w:pPr>
        <w:spacing w:after="0" w:line="240" w:lineRule="auto"/>
        <w:jc w:val="both"/>
        <w:rPr>
          <w:rFonts w:ascii="Arial" w:hAnsi="Arial" w:cs="Arial"/>
          <w:bCs/>
          <w:color w:val="000000"/>
          <w:vertAlign w:val="subscript"/>
        </w:rPr>
      </w:pPr>
      <w:r>
        <w:rPr>
          <w:rFonts w:ascii="Arial" w:hAnsi="Arial" w:cs="Arial"/>
          <w:bCs/>
          <w:color w:val="000000"/>
        </w:rPr>
        <w:t>X</w:t>
      </w:r>
      <w:r>
        <w:rPr>
          <w:rFonts w:ascii="Arial" w:hAnsi="Arial" w:cs="Arial"/>
          <w:bCs/>
          <w:color w:val="000000"/>
          <w:vertAlign w:val="subscript"/>
        </w:rPr>
        <w:t xml:space="preserve">1 </w:t>
      </w:r>
      <w:r>
        <w:rPr>
          <w:rFonts w:ascii="Arial" w:hAnsi="Arial" w:cs="Arial"/>
          <w:bCs/>
          <w:color w:val="000000"/>
        </w:rPr>
        <w:t>= Kualitas Pelayanan</w:t>
      </w:r>
    </w:p>
    <w:p>
      <w:pPr>
        <w:spacing w:after="0" w:line="240" w:lineRule="auto"/>
        <w:jc w:val="both"/>
        <w:rPr>
          <w:rFonts w:ascii="Arial" w:hAnsi="Arial" w:cs="Arial"/>
          <w:bCs/>
          <w:color w:val="000000"/>
          <w:vertAlign w:val="subscript"/>
        </w:rPr>
      </w:pPr>
      <w:r>
        <w:rPr>
          <w:rFonts w:ascii="Arial" w:hAnsi="Arial" w:cs="Arial"/>
          <w:bCs/>
          <w:color w:val="000000"/>
        </w:rPr>
        <w:t>X</w:t>
      </w:r>
      <w:r>
        <w:rPr>
          <w:rFonts w:ascii="Arial" w:hAnsi="Arial" w:cs="Arial"/>
          <w:bCs/>
          <w:color w:val="000000"/>
          <w:vertAlign w:val="subscript"/>
        </w:rPr>
        <w:t xml:space="preserve">2 </w:t>
      </w:r>
      <w:r>
        <w:rPr>
          <w:rFonts w:ascii="Arial" w:hAnsi="Arial" w:cs="Arial"/>
          <w:bCs/>
          <w:color w:val="000000"/>
        </w:rPr>
        <w:t>= Kualitas Produk</w:t>
      </w:r>
    </w:p>
    <w:p>
      <w:pPr>
        <w:spacing w:after="0" w:line="240" w:lineRule="auto"/>
        <w:jc w:val="both"/>
        <w:rPr>
          <w:rFonts w:ascii="Arial" w:hAnsi="Arial" w:cs="Arial"/>
          <w:bCs/>
          <w:color w:val="000000"/>
          <w:vertAlign w:val="subscript"/>
        </w:rPr>
      </w:pPr>
      <w:r>
        <w:rPr>
          <w:rFonts w:ascii="Arial" w:hAnsi="Arial" w:cs="Arial"/>
          <w:bCs/>
          <w:color w:val="000000"/>
        </w:rPr>
        <w:t>X</w:t>
      </w:r>
      <w:r>
        <w:rPr>
          <w:rFonts w:ascii="Arial" w:hAnsi="Arial" w:cs="Arial"/>
          <w:bCs/>
          <w:color w:val="000000"/>
          <w:vertAlign w:val="subscript"/>
        </w:rPr>
        <w:t xml:space="preserve">3 </w:t>
      </w:r>
      <w:r>
        <w:rPr>
          <w:rFonts w:ascii="Arial" w:hAnsi="Arial" w:cs="Arial"/>
          <w:bCs/>
          <w:color w:val="000000"/>
        </w:rPr>
        <w:t>= Kepercayaan</w:t>
      </w:r>
    </w:p>
    <w:p>
      <w:pPr>
        <w:spacing w:after="0" w:line="240" w:lineRule="auto"/>
        <w:jc w:val="both"/>
        <w:rPr>
          <w:rFonts w:ascii="Arial" w:hAnsi="Arial" w:cs="Arial"/>
          <w:bCs/>
          <w:color w:val="000000"/>
        </w:rPr>
      </w:pPr>
      <w:r>
        <w:rPr>
          <w:rFonts w:ascii="Arial" w:hAnsi="Arial" w:cs="Arial"/>
          <w:bCs/>
          <w:color w:val="000000"/>
        </w:rPr>
        <w:t>X</w:t>
      </w:r>
      <w:r>
        <w:rPr>
          <w:rFonts w:ascii="Arial" w:hAnsi="Arial" w:cs="Arial"/>
          <w:bCs/>
          <w:color w:val="000000"/>
          <w:vertAlign w:val="subscript"/>
        </w:rPr>
        <w:t xml:space="preserve">4 </w:t>
      </w:r>
      <w:r>
        <w:rPr>
          <w:rFonts w:ascii="Arial" w:hAnsi="Arial" w:cs="Arial"/>
          <w:bCs/>
          <w:color w:val="000000"/>
        </w:rPr>
        <w:t>= Nilai Nasabah</w:t>
      </w:r>
    </w:p>
    <w:p>
      <w:pPr>
        <w:spacing w:before="240" w:after="0" w:line="240" w:lineRule="auto"/>
        <w:ind w:firstLine="426"/>
        <w:jc w:val="both"/>
        <w:rPr>
          <w:rFonts w:ascii="Arial" w:hAnsi="Arial" w:cs="Arial"/>
          <w:bCs/>
          <w:color w:val="000000"/>
        </w:rPr>
      </w:pPr>
      <w:r>
        <w:rPr>
          <w:rFonts w:ascii="Arial" w:hAnsi="Arial" w:cs="Arial"/>
          <w:bCs/>
          <w:color w:val="000000"/>
        </w:rPr>
        <w:t>Arah hubungan variabel eksogen terhadap variabel endogen keseluruhan memiliki arah yang positif dengan pengaruh yang signifikan, kecuali pengaruh variabel kualitas pelayanan dan nilai nasabah terhadap kepuasan nasabah yang memiliki arah negative dan pengaruh yang tidak signifikan.</w:t>
      </w:r>
    </w:p>
    <w:p>
      <w:pPr>
        <w:spacing w:before="240" w:after="0" w:line="240" w:lineRule="auto"/>
        <w:jc w:val="both"/>
        <w:rPr>
          <w:rFonts w:ascii="Arial" w:hAnsi="Arial" w:cs="Arial"/>
          <w:b/>
          <w:bCs/>
          <w:color w:val="000000"/>
        </w:rPr>
      </w:pPr>
      <w:r>
        <w:rPr>
          <w:rFonts w:ascii="Arial" w:hAnsi="Arial" w:cs="Arial"/>
          <w:b/>
          <w:bCs/>
          <w:color w:val="000000"/>
        </w:rPr>
        <w:t>Pembahasan Hasil</w:t>
      </w:r>
    </w:p>
    <w:p>
      <w:pPr>
        <w:tabs>
          <w:tab w:val="left" w:pos="0"/>
        </w:tabs>
        <w:spacing w:after="0" w:line="240" w:lineRule="auto"/>
        <w:ind w:firstLine="426"/>
        <w:jc w:val="both"/>
        <w:rPr>
          <w:rFonts w:ascii="Arial" w:hAnsi="Arial" w:eastAsia="Times New Roman" w:cs="Arial"/>
          <w:color w:val="000000"/>
        </w:rPr>
      </w:pPr>
      <w:r>
        <w:rPr>
          <w:rFonts w:ascii="Arial" w:hAnsi="Arial" w:eastAsia="Times New Roman" w:cs="Arial"/>
          <w:color w:val="000000"/>
        </w:rPr>
        <w:t>Hasil pengujian hipotesis 1 menunjukkan bahwa variabel kualitas pelayanan berpengaruh negatif dan tidak signifikan terhadap kepuasan nasabah PT Bank BRISyariah Kantor Cabang Pembantu Ungaran. Temuan ini kontradiksi dengan hasil penelitian yang dilakukan oleh Hasanah (2013) dan Ismail (2014) yang menunjukkan bahwa variabel kualitas pelayanan memiliki pengaruh yang positif dan signifikan terhadap kepuasan nasabah.</w:t>
      </w:r>
    </w:p>
    <w:p>
      <w:pPr>
        <w:spacing w:after="0" w:line="240" w:lineRule="auto"/>
        <w:ind w:firstLine="426"/>
        <w:jc w:val="both"/>
        <w:rPr>
          <w:rFonts w:ascii="Arial" w:hAnsi="Arial" w:eastAsia="Times New Roman" w:cs="Arial"/>
          <w:color w:val="000000"/>
        </w:rPr>
      </w:pPr>
      <w:r>
        <w:rPr>
          <w:rFonts w:ascii="Arial" w:hAnsi="Arial" w:cs="Arial"/>
          <w:iCs/>
          <w:color w:val="000000"/>
        </w:rPr>
        <w:t xml:space="preserve">Hal ini terjadi karena selama penelitian dilakukan, ditemukan fakta bahwa berdasarkan hasil pengolahan data responden </w:t>
      </w:r>
      <w:r>
        <w:rPr>
          <w:rFonts w:ascii="Arial" w:hAnsi="Arial" w:eastAsia="Times New Roman" w:cs="Arial"/>
          <w:color w:val="000000"/>
        </w:rPr>
        <w:t>PT Bank BRISyariah Kantor Cabang Pembantu Ungaran, diketahui bahwa sebagian besar responden hanya melakukan transaksi sebanyak 1 x dalam 1 bulan dan rentang waktu menjadi nasabah hanya 1 sampai 2 tahun. Hal ini menunjukkan bahwa intensitas nasabah melakukan transaksi pada PT Bank BRISyariah Kantor Cabang Pembantu Ungaran masih sangat minim. Dengan demikian, dapat dikatakan bahwa nasabah belum bisa melakukan penilaian tentang kualitas pelayanan pada PT Bank BRISyariah Kantor Cabang Pembantu Ungaran secara objektif karena masih minimnya transaksi yang dilakukan.</w:t>
      </w:r>
    </w:p>
    <w:p>
      <w:pPr>
        <w:tabs>
          <w:tab w:val="left" w:pos="0"/>
        </w:tabs>
        <w:spacing w:after="0" w:line="240" w:lineRule="auto"/>
        <w:ind w:firstLine="426"/>
        <w:jc w:val="both"/>
        <w:rPr>
          <w:rFonts w:ascii="Arial" w:hAnsi="Arial" w:eastAsia="Times New Roman" w:cs="Arial"/>
          <w:color w:val="000000"/>
        </w:rPr>
      </w:pPr>
      <w:r>
        <w:rPr>
          <w:rFonts w:ascii="Arial" w:hAnsi="Arial" w:eastAsia="Times New Roman" w:cs="Arial"/>
          <w:color w:val="000000"/>
        </w:rPr>
        <w:t>Selain itu, mayoritas responden dalam penelitian ini, yaitu sebesar 75,6 % memiliki rekening pada bank lain. Hal ini dapat diartikan bahwa selain melakukan transaksi di PT Bank BRISyariah Kantor Cabang Pembantu Ungaran, nasabah juga melakukan transaksi di bank lain. Dengan demikian, walaupun kualitas pelayanan pada PT Bank BRISyariah Kantor Cabang Pembantu Ungaran dinaikkan bisa menyebabkan kepuasan nasabah menjadi menurun. Hal ini terjadi jika bank lain mampu memberikan tingkat kualitas pelayanan yang lebih tinggi dari kualitas pelayanan yang diberikan PT Bank BRISyariah Kantor Cabang Pembantu Ungaran, sehingga tingkat kepuasan nasabah pada bank lain akan cenderung lebih tinggi jika dibandingkan dengan kepuasan nasabah pada PT Bank BRISyariah Kantor Cabang Pembantu Ungaran.</w:t>
      </w:r>
    </w:p>
    <w:p>
      <w:pPr>
        <w:tabs>
          <w:tab w:val="left" w:pos="0"/>
        </w:tabs>
        <w:spacing w:after="0" w:line="240" w:lineRule="auto"/>
        <w:ind w:firstLine="426"/>
        <w:jc w:val="both"/>
        <w:rPr>
          <w:rFonts w:ascii="Arial" w:hAnsi="Arial" w:eastAsia="Times New Roman" w:cs="Arial"/>
          <w:color w:val="000000"/>
        </w:rPr>
      </w:pPr>
      <w:r>
        <w:rPr>
          <w:rFonts w:ascii="Arial" w:hAnsi="Arial" w:eastAsia="Times New Roman" w:cs="Arial"/>
          <w:color w:val="000000"/>
        </w:rPr>
        <w:t xml:space="preserve">Hasil pengujian hipotesis 2 menunjukkan bahwa variabel kualitas produk berpengaruh positif dan signifikan terhadap kepuasan nasabah PT Bank BRISyariah Kantor Cabang Pembantu Ungaran. </w:t>
      </w:r>
    </w:p>
    <w:p>
      <w:pPr>
        <w:tabs>
          <w:tab w:val="left" w:pos="0"/>
        </w:tabs>
        <w:spacing w:after="0" w:line="240" w:lineRule="auto"/>
        <w:ind w:firstLine="426"/>
        <w:jc w:val="both"/>
        <w:rPr>
          <w:rFonts w:ascii="Arial" w:hAnsi="Arial" w:eastAsia="Times New Roman" w:cs="Arial"/>
          <w:color w:val="000000"/>
        </w:rPr>
      </w:pPr>
      <w:r>
        <w:rPr>
          <w:rFonts w:ascii="Arial" w:hAnsi="Arial" w:eastAsia="Times New Roman" w:cs="Arial"/>
          <w:color w:val="000000"/>
        </w:rPr>
        <w:t>Hasil penelitian ini sesuai dengan teori Rangkuti (2003: 30) yang menyatakan bahwa kepuasan pelanggan selain dipengaruhi oleh persepsi kualitas jasa, juga ditentukan oleh kualitas produk. Hidayat (2009) menyatakan bahwa semakin puas seorang nasabah dalam mengkonsumsi suatu produk perbankan, maka dapat dikatakan semakin berkualitas produk perbankan. Nasabah akan merasa puas jika bank mampu memberikan kualitas produk yang sesuai harapan nasabah.</w:t>
      </w:r>
    </w:p>
    <w:p>
      <w:pPr>
        <w:tabs>
          <w:tab w:val="left" w:pos="0"/>
        </w:tabs>
        <w:spacing w:after="0" w:line="240" w:lineRule="auto"/>
        <w:ind w:firstLine="426"/>
        <w:jc w:val="both"/>
        <w:rPr>
          <w:rFonts w:ascii="Arial" w:hAnsi="Arial" w:eastAsia="Times New Roman" w:cs="Arial"/>
          <w:color w:val="000000"/>
        </w:rPr>
      </w:pPr>
      <w:r>
        <w:rPr>
          <w:rFonts w:ascii="Arial" w:hAnsi="Arial" w:eastAsia="Times New Roman" w:cs="Arial"/>
          <w:color w:val="000000"/>
        </w:rPr>
        <w:t>Temuan ini mendukung hasil penelitian yang dilakukan oleh Hidayat (2009), Tumangkeng (2013), Endarwita (2013), dan Ismail (2014) yang menyatakan bahwa variabel kualitas produk berpengaruh positif dan signifikan terhadap kepuasan nasabah.</w:t>
      </w:r>
    </w:p>
    <w:p>
      <w:pPr>
        <w:tabs>
          <w:tab w:val="left" w:pos="0"/>
        </w:tabs>
        <w:spacing w:after="0" w:line="240" w:lineRule="auto"/>
        <w:ind w:firstLine="426"/>
        <w:jc w:val="both"/>
        <w:rPr>
          <w:rFonts w:ascii="Arial" w:hAnsi="Arial" w:eastAsia="Times New Roman" w:cs="Arial"/>
          <w:color w:val="000000"/>
        </w:rPr>
      </w:pPr>
      <w:r>
        <w:rPr>
          <w:rFonts w:ascii="Arial" w:hAnsi="Arial" w:eastAsia="Times New Roman" w:cs="Arial"/>
          <w:color w:val="000000"/>
        </w:rPr>
        <w:t>Hasil pengujian hipotesis 3 menunjukkan bahwa variabel kepercayaan berpengaruh positif dan signifikan terhadap kepuasan nasabah PT Bank BRISyariah Kantor Cabang Pembantu Ungaran.</w:t>
      </w:r>
    </w:p>
    <w:p>
      <w:pPr>
        <w:spacing w:after="0" w:line="240" w:lineRule="auto"/>
        <w:ind w:firstLine="426"/>
        <w:jc w:val="both"/>
        <w:rPr>
          <w:rFonts w:ascii="Arial" w:hAnsi="Arial" w:eastAsia="Times New Roman" w:cs="Arial"/>
          <w:color w:val="000000"/>
        </w:rPr>
      </w:pPr>
      <w:r>
        <w:rPr>
          <w:rFonts w:ascii="Arial" w:hAnsi="Arial" w:eastAsia="Times New Roman" w:cs="Arial"/>
          <w:color w:val="000000"/>
        </w:rPr>
        <w:t xml:space="preserve">Hasil penelitian ini sesuai dengan teori Chiou </w:t>
      </w:r>
      <w:r>
        <w:rPr>
          <w:rFonts w:ascii="Arial" w:hAnsi="Arial" w:eastAsia="Times New Roman" w:cs="Arial"/>
          <w:i/>
          <w:color w:val="000000"/>
        </w:rPr>
        <w:t>and</w:t>
      </w:r>
      <w:r>
        <w:rPr>
          <w:rFonts w:ascii="Arial" w:hAnsi="Arial" w:eastAsia="Times New Roman" w:cs="Arial"/>
          <w:color w:val="000000"/>
        </w:rPr>
        <w:t xml:space="preserve"> Droge (2006) yang menyatakan bahwa konsumen yang belum percaya akan memiliki pengaruh langsung pada kepuasan setelah mereka melakukan pembelian. Oleh karena itu, dapat diargumentasikan bahwa persepsi kepercayaan akan mempengaruhi kepuasan dari waktu ke waktu. Dalam kasus apapun, jika konsumen tidak percaya pada penyedia berdasarkan pengalaman masa lalu, maka ia akan merasa tidak puas dengan penyedia itu. </w:t>
      </w:r>
    </w:p>
    <w:p>
      <w:pPr>
        <w:tabs>
          <w:tab w:val="left" w:pos="0"/>
        </w:tabs>
        <w:spacing w:after="0" w:line="240" w:lineRule="auto"/>
        <w:ind w:firstLine="426"/>
        <w:jc w:val="both"/>
        <w:rPr>
          <w:rFonts w:ascii="Arial" w:hAnsi="Arial" w:eastAsia="Times New Roman" w:cs="Arial"/>
          <w:color w:val="000000"/>
        </w:rPr>
      </w:pPr>
      <w:r>
        <w:rPr>
          <w:rFonts w:ascii="Arial" w:hAnsi="Arial" w:eastAsia="Times New Roman" w:cs="Arial"/>
          <w:color w:val="000000"/>
        </w:rPr>
        <w:t>Temuan ini mendukung hasil penelitian yang dilakukan oleh Junusi (2009), Elsandra dan Efriyuzal (2013), dan Sungkawa (2014) yang menyatakan bahwa variabel kepercayaan berpengaruh positif dan signifikan terhadap kepuasan nasabah.</w:t>
      </w:r>
    </w:p>
    <w:p>
      <w:pPr>
        <w:tabs>
          <w:tab w:val="left" w:pos="0"/>
        </w:tabs>
        <w:spacing w:after="0" w:line="240" w:lineRule="auto"/>
        <w:ind w:firstLine="426"/>
        <w:jc w:val="both"/>
        <w:rPr>
          <w:rFonts w:ascii="Arial" w:hAnsi="Arial" w:eastAsia="Times New Roman" w:cs="Arial"/>
          <w:color w:val="000000"/>
        </w:rPr>
      </w:pPr>
      <w:r>
        <w:rPr>
          <w:rFonts w:ascii="Arial" w:hAnsi="Arial" w:eastAsia="Times New Roman" w:cs="Arial"/>
          <w:color w:val="000000"/>
        </w:rPr>
        <w:t xml:space="preserve">Hasil pengujian hipotesis 4 menunjukkan bahwa variabel nilai nasabah berpengaruh negatif dan tidak signifikan terhadap kepuasan nasabah PT Bank BRISyariah Kantor Cabang Pembantu Ungaran. Temuan ini kontradiksi dengan hasil penelitian yang dilakukan oleh Afiff </w:t>
      </w:r>
      <w:r>
        <w:rPr>
          <w:rFonts w:ascii="Arial" w:hAnsi="Arial" w:eastAsia="Times New Roman" w:cs="Arial"/>
          <w:i/>
          <w:color w:val="000000"/>
        </w:rPr>
        <w:t>and</w:t>
      </w:r>
      <w:r>
        <w:rPr>
          <w:rFonts w:ascii="Arial" w:hAnsi="Arial" w:eastAsia="Times New Roman" w:cs="Arial"/>
          <w:color w:val="000000"/>
        </w:rPr>
        <w:t xml:space="preserve"> Astuti (2009), Hidayat (2009), dan Ika dan Noor (2013) yang menyatakan bahwa nilai nasabah berpengaruh positif dan signifikan. Dalam penelitian ini, semakin tinggi nilai nasabah maka semakin rendah kepuasan nasabah pada PT Bank BRISyariah Kantor Cabang Pembantu Ungaran. Hal ini dikarenakan, berdasarkan pengolahan data responden PT Bank BRISyariah Kantor Cabang Pembantu Ungaran diketahui bahwa sebesar 75,6 %  responden memiliki rekening pada bank lain. Dengan demikian, ketika nasabah memberikan nilai manfaat atas produk dan pelayanan yang dimiliki PT Bank BRISyariah Kantor Cabang Pembantu Ungaran masih membandingkan nilai yang diperoleh pada bank lain. Selain itu, nasabah PT Bank BRISyariah Kantor Cabang Pembantu Ungaran masih membandingkan besar nilai yang dikeluarkan dengan nilai yang diperoleh selama menjadi nasabah PT Bank BRISyariah Kantor Cabang Pembantu Ungaran. Hal ini dikarenakan besarnya biaya administrasi mengalami kenaikan yang tidak diimbangi dengan meningkatnya produk, pelayanan, dan bagi hasil yang diterima nasabah. Oleh karena itu, manajemen PT Bank BRISyariah Kantor Cabang Pembantu Ungaran sebaiknya meningkatkan produk dan pelayanan agar memiliki nilai lebih.</w:t>
      </w:r>
    </w:p>
    <w:p>
      <w:pPr>
        <w:tabs>
          <w:tab w:val="left" w:pos="0"/>
        </w:tabs>
        <w:spacing w:after="0" w:line="240" w:lineRule="auto"/>
        <w:ind w:firstLine="426"/>
        <w:jc w:val="both"/>
        <w:rPr>
          <w:rFonts w:ascii="Arial" w:hAnsi="Arial" w:eastAsia="Times New Roman" w:cs="Arial"/>
          <w:color w:val="000000"/>
        </w:rPr>
      </w:pPr>
      <w:r>
        <w:rPr>
          <w:rFonts w:ascii="Arial" w:hAnsi="Arial" w:eastAsia="Times New Roman" w:cs="Arial"/>
          <w:color w:val="000000"/>
        </w:rPr>
        <w:t>Hal lain yang menyebabkan temuan ini tidak mendukung hasil penelitian yang dilakukan oleh Afiff dan Astuti (2009), Hidayat (2009), dan Ika dan Noor (2013) adalah karena indikator nilai nasabah belum mampu mewakili pembentuk variabel nilai nasabah. Hal ini didasarkan pada penelitian Medberg dan Heinonen (2014) yang menyatakan bahwa pembentuk nilai nasabah adalah nilai moral, nilai tanggung jawab, nilai hubungan, dan nilai peninggalan.</w:t>
      </w:r>
    </w:p>
    <w:p>
      <w:pPr>
        <w:tabs>
          <w:tab w:val="left" w:pos="0"/>
        </w:tabs>
        <w:spacing w:after="0" w:line="240" w:lineRule="auto"/>
        <w:ind w:firstLine="426"/>
        <w:jc w:val="both"/>
        <w:rPr>
          <w:rFonts w:ascii="Arial" w:hAnsi="Arial" w:eastAsia="Times New Roman" w:cs="Arial"/>
          <w:b/>
          <w:color w:val="000000"/>
        </w:rPr>
      </w:pPr>
      <w:r>
        <w:rPr>
          <w:rFonts w:ascii="Arial" w:hAnsi="Arial" w:eastAsia="Times New Roman" w:cs="Arial"/>
          <w:color w:val="000000"/>
        </w:rPr>
        <w:t xml:space="preserve">Hasil pengujian hipotesis 5 menunjukkan bahwa variabel kepuasan nasbaah berpengaruh positif dan signifikan terhadap </w:t>
      </w:r>
      <w:r>
        <w:rPr>
          <w:rFonts w:ascii="Arial" w:hAnsi="Arial" w:eastAsia="Times New Roman" w:cs="Arial"/>
          <w:i/>
          <w:color w:val="000000"/>
        </w:rPr>
        <w:t>customer retention</w:t>
      </w:r>
      <w:r>
        <w:rPr>
          <w:rFonts w:ascii="Arial" w:hAnsi="Arial" w:eastAsia="Times New Roman" w:cs="Arial"/>
          <w:color w:val="000000"/>
        </w:rPr>
        <w:t xml:space="preserve"> PT Bank BRISyariah Kantor Cabang Pembantu Ungaran.</w:t>
      </w:r>
    </w:p>
    <w:p>
      <w:pPr>
        <w:tabs>
          <w:tab w:val="left" w:pos="0"/>
        </w:tabs>
        <w:spacing w:after="0" w:line="240" w:lineRule="auto"/>
        <w:ind w:firstLine="426"/>
        <w:jc w:val="both"/>
        <w:rPr>
          <w:rFonts w:ascii="Arial" w:hAnsi="Arial" w:eastAsia="Times New Roman" w:cs="Arial"/>
          <w:color w:val="000000"/>
        </w:rPr>
      </w:pPr>
      <w:r>
        <w:rPr>
          <w:rFonts w:ascii="Arial" w:hAnsi="Arial" w:eastAsia="Times New Roman" w:cs="Arial"/>
          <w:color w:val="000000"/>
        </w:rPr>
        <w:t xml:space="preserve">Hasil penelitian ini sesuai dengan teori Rangkuti (2003: 143) yang menyatakan bahwa upaya mempertahankan pelanggan yang sudah ada dapat dicapai melalui kepuasan pelanggan. Esti, </w:t>
      </w:r>
      <w:r>
        <w:rPr>
          <w:rFonts w:ascii="Arial" w:hAnsi="Arial" w:eastAsia="Times New Roman" w:cs="Arial"/>
          <w:i/>
          <w:color w:val="000000"/>
        </w:rPr>
        <w:t>et al</w:t>
      </w:r>
      <w:r>
        <w:rPr>
          <w:rFonts w:ascii="Arial" w:hAnsi="Arial" w:eastAsia="Times New Roman" w:cs="Arial"/>
          <w:color w:val="000000"/>
        </w:rPr>
        <w:t xml:space="preserve"> (2013) menambahkan, dalam upaya menciptakan retensi pelanggan, perusahaan perlu memperhatikan, menelusuri, dan mempelajari kepuasan pelanggan. Salah satu kunci mempertahankan pelanggan adalah kepuasan pelanggan.</w:t>
      </w:r>
    </w:p>
    <w:p>
      <w:pPr>
        <w:tabs>
          <w:tab w:val="left" w:pos="0"/>
        </w:tabs>
        <w:spacing w:after="0" w:line="240" w:lineRule="auto"/>
        <w:ind w:firstLine="426"/>
        <w:jc w:val="both"/>
        <w:rPr>
          <w:rFonts w:ascii="Arial" w:hAnsi="Arial" w:eastAsia="Times New Roman" w:cs="Arial"/>
          <w:color w:val="000000"/>
        </w:rPr>
      </w:pPr>
      <w:r>
        <w:rPr>
          <w:rFonts w:ascii="Arial" w:hAnsi="Arial" w:eastAsia="Times New Roman" w:cs="Arial"/>
          <w:color w:val="000000"/>
        </w:rPr>
        <w:t xml:space="preserve">Temuan ini mendukung hasil penelitian yang dilakukan oleh Danesh, </w:t>
      </w:r>
      <w:r>
        <w:rPr>
          <w:rFonts w:ascii="Arial" w:hAnsi="Arial" w:eastAsia="Times New Roman" w:cs="Arial"/>
          <w:i/>
          <w:color w:val="000000"/>
        </w:rPr>
        <w:t>et al</w:t>
      </w:r>
      <w:r>
        <w:rPr>
          <w:rFonts w:ascii="Arial" w:hAnsi="Arial" w:eastAsia="Times New Roman" w:cs="Arial"/>
          <w:color w:val="000000"/>
        </w:rPr>
        <w:t xml:space="preserve"> (2012), Esti, </w:t>
      </w:r>
      <w:r>
        <w:rPr>
          <w:rFonts w:ascii="Arial" w:hAnsi="Arial" w:eastAsia="Times New Roman" w:cs="Arial"/>
          <w:i/>
          <w:color w:val="000000"/>
        </w:rPr>
        <w:t>et al</w:t>
      </w:r>
      <w:r>
        <w:rPr>
          <w:rFonts w:ascii="Arial" w:hAnsi="Arial" w:eastAsia="Times New Roman" w:cs="Arial"/>
          <w:color w:val="000000"/>
        </w:rPr>
        <w:t xml:space="preserve"> (2013), Sari dan Suryadi (2013), dan Panjaitan, </w:t>
      </w:r>
      <w:r>
        <w:rPr>
          <w:rFonts w:ascii="Arial" w:hAnsi="Arial" w:eastAsia="Times New Roman" w:cs="Arial"/>
          <w:i/>
          <w:color w:val="000000"/>
        </w:rPr>
        <w:t>et al</w:t>
      </w:r>
      <w:r>
        <w:rPr>
          <w:rFonts w:ascii="Arial" w:hAnsi="Arial" w:eastAsia="Times New Roman" w:cs="Arial"/>
          <w:color w:val="000000"/>
        </w:rPr>
        <w:t xml:space="preserve"> (2015) yang menyatakan bahwa variabel kepuasan nasabah berpengaruh positif dan signifikan terhadap </w:t>
      </w:r>
      <w:r>
        <w:rPr>
          <w:rFonts w:ascii="Arial" w:hAnsi="Arial" w:eastAsia="Times New Roman" w:cs="Arial"/>
          <w:i/>
          <w:color w:val="000000"/>
        </w:rPr>
        <w:t>customer retention</w:t>
      </w:r>
      <w:r>
        <w:rPr>
          <w:rFonts w:ascii="Arial" w:hAnsi="Arial" w:eastAsia="Times New Roman" w:cs="Arial"/>
          <w:color w:val="000000"/>
        </w:rPr>
        <w:t>.</w:t>
      </w:r>
    </w:p>
    <w:p>
      <w:pPr>
        <w:spacing w:after="0" w:line="240" w:lineRule="auto"/>
        <w:jc w:val="both"/>
        <w:rPr>
          <w:rFonts w:ascii="Arial" w:hAnsi="Arial" w:eastAsia="Times New Roman" w:cs="Arial"/>
          <w:b/>
          <w:color w:val="000000"/>
        </w:rPr>
      </w:pPr>
    </w:p>
    <w:p>
      <w:pPr>
        <w:spacing w:after="0" w:line="240" w:lineRule="auto"/>
        <w:jc w:val="both"/>
        <w:rPr>
          <w:rFonts w:ascii="Arial" w:hAnsi="Arial" w:eastAsia="Times New Roman" w:cs="Arial"/>
          <w:b/>
          <w:color w:val="000000"/>
        </w:rPr>
      </w:pPr>
      <w:r>
        <w:rPr>
          <w:rFonts w:ascii="Arial" w:hAnsi="Arial" w:eastAsia="Times New Roman" w:cs="Arial"/>
          <w:b/>
          <w:color w:val="000000"/>
        </w:rPr>
        <w:t>PENUTUP</w:t>
      </w:r>
    </w:p>
    <w:p>
      <w:pPr>
        <w:spacing w:after="0" w:line="240" w:lineRule="auto"/>
        <w:jc w:val="both"/>
        <w:rPr>
          <w:rFonts w:ascii="Arial" w:hAnsi="Arial" w:eastAsia="Times New Roman" w:cs="Arial"/>
          <w:b/>
          <w:color w:val="000000"/>
        </w:rPr>
      </w:pPr>
      <w:r>
        <w:rPr>
          <w:rFonts w:ascii="Arial" w:hAnsi="Arial" w:eastAsia="Times New Roman" w:cs="Arial"/>
          <w:b/>
          <w:color w:val="000000"/>
        </w:rPr>
        <w:t>Kesimpulan</w:t>
      </w:r>
    </w:p>
    <w:p>
      <w:pPr>
        <w:spacing w:after="0" w:line="240" w:lineRule="auto"/>
        <w:ind w:firstLine="426"/>
        <w:jc w:val="both"/>
        <w:rPr>
          <w:rFonts w:ascii="Arial" w:hAnsi="Arial" w:cs="Arial"/>
          <w:color w:val="000000"/>
        </w:rPr>
      </w:pPr>
      <w:r>
        <w:rPr>
          <w:rFonts w:ascii="Arial" w:hAnsi="Arial" w:cs="Arial"/>
          <w:color w:val="000000"/>
        </w:rPr>
        <w:t>Kesimpulan dari penelitian ini adalah sebagai berikut:</w:t>
      </w:r>
    </w:p>
    <w:p>
      <w:pPr>
        <w:pStyle w:val="12"/>
        <w:numPr>
          <w:ilvl w:val="1"/>
          <w:numId w:val="2"/>
        </w:numPr>
        <w:tabs>
          <w:tab w:val="left" w:pos="284"/>
          <w:tab w:val="clear" w:pos="1440"/>
        </w:tabs>
        <w:spacing w:after="0" w:line="240" w:lineRule="auto"/>
        <w:ind w:left="284" w:hanging="284"/>
        <w:jc w:val="both"/>
        <w:rPr>
          <w:rFonts w:ascii="Arial" w:hAnsi="Arial" w:cs="Arial"/>
          <w:color w:val="000000"/>
        </w:rPr>
      </w:pPr>
      <w:r>
        <w:rPr>
          <w:rFonts w:ascii="Arial" w:hAnsi="Arial" w:eastAsia="Times New Roman" w:cs="Arial"/>
          <w:color w:val="000000"/>
        </w:rPr>
        <w:t>Variabel kualitas pelayanan berpengaruh negatif dan tidak signifikan terhadap kepuasan nasabah pada PT Bank BRISyariah Kantor Cabang Pembantu Ungaran.</w:t>
      </w:r>
    </w:p>
    <w:p>
      <w:pPr>
        <w:pStyle w:val="12"/>
        <w:numPr>
          <w:ilvl w:val="1"/>
          <w:numId w:val="2"/>
        </w:numPr>
        <w:tabs>
          <w:tab w:val="left" w:pos="284"/>
          <w:tab w:val="clear" w:pos="1440"/>
        </w:tabs>
        <w:spacing w:after="0" w:line="240" w:lineRule="auto"/>
        <w:ind w:left="284" w:hanging="284"/>
        <w:jc w:val="both"/>
        <w:rPr>
          <w:rFonts w:ascii="Arial" w:hAnsi="Arial" w:cs="Arial"/>
          <w:color w:val="000000"/>
        </w:rPr>
      </w:pPr>
      <w:r>
        <w:rPr>
          <w:rFonts w:ascii="Arial" w:hAnsi="Arial" w:eastAsia="Times New Roman" w:cs="Arial"/>
          <w:color w:val="000000"/>
        </w:rPr>
        <w:t>Variabel kualitas produk berpengaruh positif dan signifikan terhadap kepuasan nasabah pada PT Bank BRISyariah Kantor Cabang Pembantu Ungaran.</w:t>
      </w:r>
    </w:p>
    <w:p>
      <w:pPr>
        <w:pStyle w:val="12"/>
        <w:numPr>
          <w:ilvl w:val="1"/>
          <w:numId w:val="2"/>
        </w:numPr>
        <w:tabs>
          <w:tab w:val="left" w:pos="284"/>
          <w:tab w:val="clear" w:pos="1440"/>
        </w:tabs>
        <w:spacing w:after="0" w:line="240" w:lineRule="auto"/>
        <w:ind w:left="284" w:hanging="284"/>
        <w:jc w:val="both"/>
        <w:rPr>
          <w:rFonts w:ascii="Arial" w:hAnsi="Arial" w:cs="Arial"/>
          <w:color w:val="000000"/>
        </w:rPr>
      </w:pPr>
      <w:r>
        <w:rPr>
          <w:rFonts w:ascii="Arial" w:hAnsi="Arial" w:eastAsia="Times New Roman" w:cs="Arial"/>
          <w:color w:val="000000"/>
        </w:rPr>
        <w:t>Variabel kepercayaan berpengaruh positif dan signifikan terhadap kepuasan nasabah pada PT Bank BRISyariah Kantor Cabang Pembantu Ungaran.</w:t>
      </w:r>
    </w:p>
    <w:p>
      <w:pPr>
        <w:pStyle w:val="12"/>
        <w:numPr>
          <w:ilvl w:val="1"/>
          <w:numId w:val="2"/>
        </w:numPr>
        <w:tabs>
          <w:tab w:val="left" w:pos="284"/>
          <w:tab w:val="clear" w:pos="1440"/>
        </w:tabs>
        <w:spacing w:after="0" w:line="240" w:lineRule="auto"/>
        <w:ind w:left="284" w:hanging="284"/>
        <w:jc w:val="both"/>
        <w:rPr>
          <w:rFonts w:ascii="Arial" w:hAnsi="Arial" w:cs="Arial"/>
          <w:color w:val="000000"/>
        </w:rPr>
      </w:pPr>
      <w:r>
        <w:rPr>
          <w:rFonts w:ascii="Arial" w:hAnsi="Arial" w:eastAsia="Times New Roman" w:cs="Arial"/>
          <w:color w:val="000000"/>
        </w:rPr>
        <w:t>Variabel nilai nasabah berpengaruh negatif dan tidak signifikan terhadap kepuasan nasabah pada PT Bank BRISyariah Kantor Cabang Pembantu Ungaran.</w:t>
      </w:r>
    </w:p>
    <w:p>
      <w:pPr>
        <w:pStyle w:val="12"/>
        <w:numPr>
          <w:ilvl w:val="1"/>
          <w:numId w:val="2"/>
        </w:numPr>
        <w:tabs>
          <w:tab w:val="left" w:pos="284"/>
          <w:tab w:val="clear" w:pos="1440"/>
        </w:tabs>
        <w:spacing w:after="0" w:line="240" w:lineRule="auto"/>
        <w:ind w:left="284" w:hanging="284"/>
        <w:jc w:val="both"/>
        <w:rPr>
          <w:rFonts w:ascii="Arial" w:hAnsi="Arial" w:cs="Arial"/>
          <w:color w:val="000000"/>
        </w:rPr>
      </w:pPr>
      <w:r>
        <w:rPr>
          <w:rFonts w:ascii="Arial" w:hAnsi="Arial" w:eastAsia="Times New Roman" w:cs="Arial"/>
          <w:color w:val="000000"/>
        </w:rPr>
        <w:t xml:space="preserve">Variabel kepuasan nasabah berpengaruh positif dan signifikan terhadap </w:t>
      </w:r>
      <w:r>
        <w:rPr>
          <w:rFonts w:ascii="Arial" w:hAnsi="Arial" w:eastAsia="Times New Roman" w:cs="Arial"/>
          <w:i/>
          <w:color w:val="000000"/>
        </w:rPr>
        <w:t>customer retention</w:t>
      </w:r>
      <w:r>
        <w:rPr>
          <w:rFonts w:ascii="Arial" w:hAnsi="Arial" w:eastAsia="Times New Roman" w:cs="Arial"/>
          <w:color w:val="000000"/>
        </w:rPr>
        <w:t xml:space="preserve"> pada PT Bank BRISyariah Kantor Cabang Pembantu Ungaran.</w:t>
      </w:r>
    </w:p>
    <w:p>
      <w:pPr>
        <w:spacing w:before="240" w:after="0" w:line="240" w:lineRule="auto"/>
        <w:jc w:val="both"/>
        <w:rPr>
          <w:rFonts w:ascii="Arial" w:hAnsi="Arial" w:cs="Arial"/>
          <w:b/>
          <w:color w:val="000000"/>
        </w:rPr>
      </w:pPr>
      <w:r>
        <w:rPr>
          <w:rFonts w:ascii="Arial" w:hAnsi="Arial" w:cs="Arial"/>
          <w:b/>
          <w:color w:val="000000"/>
        </w:rPr>
        <w:t>Keterbatasan Penelitian</w:t>
      </w:r>
    </w:p>
    <w:p>
      <w:pPr>
        <w:spacing w:after="0" w:line="240" w:lineRule="auto"/>
        <w:ind w:firstLine="426"/>
        <w:jc w:val="both"/>
        <w:rPr>
          <w:rFonts w:ascii="Arial" w:hAnsi="Arial" w:cs="Arial"/>
          <w:color w:val="000000"/>
        </w:rPr>
      </w:pPr>
      <w:r>
        <w:rPr>
          <w:rFonts w:ascii="Arial" w:hAnsi="Arial" w:cs="Arial"/>
          <w:color w:val="000000"/>
        </w:rPr>
        <w:t>Penelitian ini memiliki keterbatasan antara lain:</w:t>
      </w:r>
    </w:p>
    <w:p>
      <w:pPr>
        <w:pStyle w:val="12"/>
        <w:numPr>
          <w:ilvl w:val="3"/>
          <w:numId w:val="2"/>
        </w:numPr>
        <w:tabs>
          <w:tab w:val="left" w:pos="284"/>
          <w:tab w:val="clear" w:pos="2880"/>
        </w:tabs>
        <w:spacing w:after="0" w:line="240" w:lineRule="auto"/>
        <w:ind w:left="284" w:hanging="284"/>
        <w:jc w:val="both"/>
        <w:rPr>
          <w:rFonts w:ascii="Arial" w:hAnsi="Arial" w:cs="Arial"/>
          <w:color w:val="000000"/>
        </w:rPr>
      </w:pPr>
      <w:r>
        <w:rPr>
          <w:rFonts w:ascii="Arial" w:hAnsi="Arial" w:cs="Arial"/>
          <w:color w:val="000000"/>
        </w:rPr>
        <w:t>Pengisian kuesioner dalam penelitian ini tidak sepenuhnya didampingi oleh peneliti, sehingga penafsiran responden atas pertanyaan-pertanyaan dalam kuesioner berbeda-beda.</w:t>
      </w:r>
    </w:p>
    <w:p>
      <w:pPr>
        <w:pStyle w:val="12"/>
        <w:numPr>
          <w:ilvl w:val="3"/>
          <w:numId w:val="2"/>
        </w:numPr>
        <w:tabs>
          <w:tab w:val="left" w:pos="284"/>
          <w:tab w:val="clear" w:pos="2880"/>
        </w:tabs>
        <w:spacing w:before="240" w:after="0" w:line="240" w:lineRule="auto"/>
        <w:ind w:left="284" w:hanging="284"/>
        <w:jc w:val="both"/>
        <w:rPr>
          <w:rFonts w:ascii="Arial" w:hAnsi="Arial" w:cs="Arial"/>
          <w:b/>
          <w:color w:val="000000"/>
        </w:rPr>
      </w:pPr>
      <w:r>
        <w:rPr>
          <w:rFonts w:ascii="Arial" w:hAnsi="Arial" w:cs="Arial"/>
          <w:color w:val="000000"/>
        </w:rPr>
        <w:t xml:space="preserve">Berdasarkan uji kelayakan model, terdapat 17 indikator yang tidak mampu membentuk variabel-variabel </w:t>
      </w:r>
      <w:bookmarkStart w:id="0" w:name="_GoBack"/>
      <w:bookmarkEnd w:id="0"/>
      <w:r>
        <w:rPr>
          <w:rFonts w:ascii="Arial" w:hAnsi="Arial" w:cs="Arial"/>
          <w:color w:val="000000"/>
        </w:rPr>
        <w:t xml:space="preserve">laten yang digunakan dalam penelitian ini. </w:t>
      </w:r>
    </w:p>
    <w:p>
      <w:pPr>
        <w:pStyle w:val="12"/>
        <w:spacing w:before="240" w:after="0" w:line="240" w:lineRule="auto"/>
        <w:ind w:left="0"/>
        <w:jc w:val="both"/>
        <w:rPr>
          <w:rFonts w:ascii="Arial" w:hAnsi="Arial" w:cs="Arial"/>
          <w:b/>
          <w:color w:val="000000"/>
        </w:rPr>
      </w:pPr>
      <w:r>
        <w:rPr>
          <w:rFonts w:ascii="Arial" w:hAnsi="Arial" w:cs="Arial"/>
          <w:b/>
          <w:color w:val="000000"/>
        </w:rPr>
        <w:t>Saran</w:t>
      </w:r>
    </w:p>
    <w:p>
      <w:pPr>
        <w:spacing w:after="0" w:line="240" w:lineRule="auto"/>
        <w:ind w:firstLine="426"/>
        <w:jc w:val="both"/>
        <w:rPr>
          <w:rFonts w:ascii="Arial" w:hAnsi="Arial" w:cs="Arial"/>
          <w:color w:val="000000"/>
        </w:rPr>
      </w:pPr>
      <w:r>
        <w:rPr>
          <w:rFonts w:ascii="Arial" w:hAnsi="Arial" w:cs="Arial"/>
          <w:color w:val="000000"/>
        </w:rPr>
        <w:t>Berikut saran-saran yang dapat diberikan:</w:t>
      </w:r>
    </w:p>
    <w:p>
      <w:pPr>
        <w:pStyle w:val="12"/>
        <w:numPr>
          <w:ilvl w:val="4"/>
          <w:numId w:val="2"/>
        </w:numPr>
        <w:tabs>
          <w:tab w:val="left" w:pos="284"/>
          <w:tab w:val="clear" w:pos="3600"/>
        </w:tabs>
        <w:spacing w:after="0" w:line="240" w:lineRule="auto"/>
        <w:ind w:left="284" w:hanging="284"/>
        <w:jc w:val="both"/>
        <w:rPr>
          <w:rFonts w:ascii="Arial" w:hAnsi="Arial" w:cs="Arial"/>
          <w:color w:val="000000"/>
        </w:rPr>
      </w:pPr>
      <w:r>
        <w:rPr>
          <w:rFonts w:ascii="Arial" w:hAnsi="Arial" w:cs="Arial"/>
          <w:color w:val="000000"/>
        </w:rPr>
        <w:t xml:space="preserve">Sehubungan dengan adanya pengisian kuesioner oleh responden dalam penelitian ini yang tidak sepenuhnya didampingi oleh peneliti, yang dapat menyebabkan perbedaan penafsiran oleh responden atas pertanyaan-pertanyaan dalam kuesioner, maka disarankan pada peneliti mendatang untuk sepenuhnya mendampingi responden dalam pengisian kuesioner. </w:t>
      </w:r>
    </w:p>
    <w:p>
      <w:pPr>
        <w:pStyle w:val="12"/>
        <w:numPr>
          <w:ilvl w:val="4"/>
          <w:numId w:val="2"/>
        </w:numPr>
        <w:tabs>
          <w:tab w:val="left" w:pos="284"/>
          <w:tab w:val="clear" w:pos="3600"/>
        </w:tabs>
        <w:spacing w:before="240" w:after="0" w:line="240" w:lineRule="auto"/>
        <w:ind w:left="284" w:hanging="284"/>
        <w:jc w:val="both"/>
        <w:rPr>
          <w:rFonts w:ascii="Arial" w:hAnsi="Arial" w:cs="Arial"/>
          <w:color w:val="000000"/>
        </w:rPr>
      </w:pPr>
      <w:r>
        <w:rPr>
          <w:rFonts w:ascii="Arial" w:hAnsi="Arial" w:cs="Arial"/>
          <w:color w:val="000000"/>
        </w:rPr>
        <w:t>Sehubungan dengan hasil penelitian ini pada hasil uji kelayakan model yang menyatakan bahwa terdapat 17 indikator yang tidak mampu membentuk variabel-variabel laten yang digunakan dalam penelitian ini, maka disarankan pada penelitian mendatang tidak menggunakan indikator-indikator tersebut. Sehubungan dengan hasil penelitian ini, sebaiknya PT Bank BRISyariah Kantor Cabang Pembantu Ungaran meningkatkan kepuasan nasabah melalui kualitas produk dengan cara meningkatkan karakteristik pokok produk tabungan dan keistimewaan fasilitas tambahan yang dimiliki PT Bank BRISyariah Kantor Cabang Pembantu Ungaran.</w:t>
      </w:r>
    </w:p>
    <w:p>
      <w:pPr>
        <w:pStyle w:val="12"/>
        <w:numPr>
          <w:ilvl w:val="4"/>
          <w:numId w:val="2"/>
        </w:numPr>
        <w:tabs>
          <w:tab w:val="left" w:pos="284"/>
          <w:tab w:val="clear" w:pos="3600"/>
        </w:tabs>
        <w:spacing w:before="240" w:after="0" w:line="240" w:lineRule="auto"/>
        <w:ind w:left="284" w:hanging="284"/>
        <w:jc w:val="both"/>
        <w:rPr>
          <w:rFonts w:ascii="Arial" w:hAnsi="Arial" w:cs="Arial"/>
          <w:color w:val="000000"/>
        </w:rPr>
      </w:pPr>
      <w:r>
        <w:rPr>
          <w:rFonts w:ascii="Arial" w:hAnsi="Arial" w:cs="Arial"/>
          <w:color w:val="000000"/>
        </w:rPr>
        <w:t>Sehubungan dengan hasil penelitian ini, sebaiknya PT Bank BRISyariah Kantor Cabang Pembantu Ungaran meningkatkan kepuasan nasabah melalui kepercayaan yang dimiliki nasabah dengan cara meningkatkan kejujuran bank untuk menjaga dan memenuhi kesepakatan yang telah dibuat dengan nasabah. Selain itu, meningkatkan kesediaan nasabah untuk memberikan informasi kepada karyawan PT Bank BRISyariah Kantor Cabang Pembantu Ungaran tentang permasalahan yang dihadapi nasabah.</w:t>
      </w:r>
    </w:p>
    <w:p>
      <w:pPr>
        <w:pStyle w:val="12"/>
        <w:numPr>
          <w:ilvl w:val="4"/>
          <w:numId w:val="2"/>
        </w:numPr>
        <w:tabs>
          <w:tab w:val="left" w:pos="284"/>
          <w:tab w:val="clear" w:pos="3600"/>
        </w:tabs>
        <w:spacing w:before="240" w:after="0" w:line="240" w:lineRule="auto"/>
        <w:ind w:left="284" w:hanging="284"/>
        <w:jc w:val="both"/>
        <w:rPr>
          <w:rFonts w:ascii="Arial" w:hAnsi="Arial" w:cs="Arial"/>
          <w:color w:val="000000"/>
        </w:rPr>
      </w:pPr>
      <w:r>
        <w:rPr>
          <w:rFonts w:ascii="Arial" w:hAnsi="Arial" w:cs="Arial"/>
          <w:color w:val="000000"/>
        </w:rPr>
        <w:t xml:space="preserve">Sehubungan dengan hasil penelitian ini, sebaiknya PT Bank BRISyariah Kantor Cabang Pembantu Ungaran meningkatkan </w:t>
      </w:r>
      <w:r>
        <w:rPr>
          <w:rFonts w:ascii="Arial" w:hAnsi="Arial" w:cs="Arial"/>
          <w:i/>
          <w:color w:val="000000"/>
        </w:rPr>
        <w:t>customer retention</w:t>
      </w:r>
      <w:r>
        <w:rPr>
          <w:rFonts w:ascii="Arial" w:hAnsi="Arial" w:cs="Arial"/>
          <w:color w:val="000000"/>
        </w:rPr>
        <w:t xml:space="preserve"> melalui kepuasan nasabah dengan cara meningkatkan kepuasan nasabah atas penampilan </w:t>
      </w:r>
      <w:r>
        <w:rPr>
          <w:rFonts w:ascii="Arial" w:hAnsi="Arial" w:cs="Arial"/>
          <w:i/>
          <w:color w:val="000000"/>
        </w:rPr>
        <w:t>interior</w:t>
      </w:r>
      <w:r>
        <w:rPr>
          <w:rFonts w:ascii="Arial" w:hAnsi="Arial" w:cs="Arial"/>
          <w:color w:val="000000"/>
        </w:rPr>
        <w:t xml:space="preserve"> yang nyaman dan kepuasan nasabah atas produk dan pelayanan yang menguntungkan.</w:t>
      </w:r>
    </w:p>
    <w:p>
      <w:pPr>
        <w:pStyle w:val="12"/>
        <w:numPr>
          <w:ilvl w:val="4"/>
          <w:numId w:val="2"/>
        </w:numPr>
        <w:tabs>
          <w:tab w:val="left" w:pos="284"/>
          <w:tab w:val="clear" w:pos="3600"/>
        </w:tabs>
        <w:spacing w:before="240" w:after="0" w:line="240" w:lineRule="auto"/>
        <w:ind w:left="284" w:hanging="284"/>
        <w:jc w:val="both"/>
        <w:rPr>
          <w:rFonts w:ascii="Arial" w:hAnsi="Arial" w:cs="Arial"/>
          <w:color w:val="000000"/>
        </w:rPr>
      </w:pPr>
      <w:r>
        <w:rPr>
          <w:rFonts w:ascii="Arial" w:hAnsi="Arial" w:cs="Arial"/>
          <w:color w:val="000000"/>
        </w:rPr>
        <w:t xml:space="preserve">Sehubungan dengan hasil penelitian ini, maka dalam meningkatkan kepuasan nasabah sebaiknya PT Bank BRISyariah Kantor Cabang Pembantu Ungaran tidak mengabaikan dan tetap memperhatikan unsur nilai nasabah. Hal ini dapat dilakukan dengan cara memberikan pelayanan yang sesuai dengan syariah Islam dan </w:t>
      </w:r>
      <w:r>
        <w:rPr>
          <w:rFonts w:ascii="Arial" w:hAnsi="Arial" w:eastAsia="Times New Roman" w:cs="Arial"/>
          <w:color w:val="000000"/>
        </w:rPr>
        <w:t>meningkatkan pelayanan yang optimal kepada nasabah PT Bank BRISyariah Kantor Cabang Pembantu Ungaran.</w:t>
      </w:r>
    </w:p>
    <w:p>
      <w:pPr>
        <w:pStyle w:val="12"/>
        <w:numPr>
          <w:ilvl w:val="4"/>
          <w:numId w:val="2"/>
        </w:numPr>
        <w:tabs>
          <w:tab w:val="left" w:pos="284"/>
          <w:tab w:val="clear" w:pos="3600"/>
        </w:tabs>
        <w:spacing w:before="240" w:after="0" w:line="240" w:lineRule="auto"/>
        <w:ind w:left="284" w:hanging="284"/>
        <w:jc w:val="both"/>
        <w:rPr>
          <w:rFonts w:ascii="Arial" w:hAnsi="Arial" w:cs="Arial"/>
          <w:color w:val="000000"/>
        </w:rPr>
      </w:pPr>
      <w:r>
        <w:rPr>
          <w:rFonts w:ascii="Arial" w:hAnsi="Arial" w:cs="Arial"/>
          <w:color w:val="000000"/>
        </w:rPr>
        <w:t xml:space="preserve">Sehubungan dengan hasil penelitian ini, maka dalam meningkatkan kepuasan nasabah sebaiknya PT Bank BRISyariah Kantor Cabang Pembantu Ungaran tidak mengabaikan dan tetap memperhatikan unsur kualitas pelayanan. Hal ini dapat dilakukan dengan cara </w:t>
      </w:r>
      <w:r>
        <w:rPr>
          <w:rFonts w:ascii="Arial" w:hAnsi="Arial" w:eastAsia="Times New Roman" w:cs="Arial"/>
          <w:color w:val="000000"/>
        </w:rPr>
        <w:t>meningkatkan daya tanggap karyawan terhadap nasabah dan meningkatkan keuntungan nasabah yang menggunakan produk dan pelayanan PT Bank BRISyariah Kantor Cabang Pembantu Ungaran.</w:t>
      </w:r>
    </w:p>
    <w:p>
      <w:pPr>
        <w:pStyle w:val="12"/>
        <w:spacing w:before="240" w:after="0" w:line="240" w:lineRule="auto"/>
        <w:ind w:left="0"/>
        <w:jc w:val="both"/>
        <w:rPr>
          <w:rFonts w:ascii="Arial" w:hAnsi="Arial" w:eastAsia="Times New Roman" w:cs="Arial"/>
          <w:b/>
          <w:color w:val="000000"/>
        </w:rPr>
      </w:pPr>
      <w:r>
        <w:rPr>
          <w:rFonts w:ascii="Arial" w:hAnsi="Arial" w:eastAsia="Times New Roman" w:cs="Arial"/>
          <w:b/>
          <w:color w:val="000000"/>
        </w:rPr>
        <w:t>DAFTAR PUSTAKA</w:t>
      </w:r>
    </w:p>
    <w:p>
      <w:pPr>
        <w:spacing w:before="120" w:after="0" w:line="240" w:lineRule="auto"/>
        <w:ind w:left="709" w:hanging="709"/>
        <w:contextualSpacing/>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Afiff, Adi Zakaria and Riffely Dewi Astuti. 2009. The Additional of Spiritual Dimension on Customer Value to Investigate The Relationship of Customer Value, Customer Satisfaction, and Behavior Intention on Islamic Bank’s Saving Products in Indonesia. </w:t>
      </w:r>
      <w:r>
        <w:rPr>
          <w:rFonts w:ascii="Arial" w:hAnsi="Arial" w:cs="Arial"/>
          <w:b/>
          <w:i/>
          <w:color w:val="000000"/>
          <w:sz w:val="20"/>
          <w:szCs w:val="20"/>
          <w:shd w:val="clear" w:color="auto" w:fill="FFFFFF"/>
        </w:rPr>
        <w:t>Asean Marketing Journal</w:t>
      </w:r>
      <w:r>
        <w:rPr>
          <w:rFonts w:ascii="Arial" w:hAnsi="Arial" w:cs="Arial"/>
          <w:color w:val="000000"/>
          <w:sz w:val="20"/>
          <w:szCs w:val="20"/>
          <w:shd w:val="clear" w:color="auto" w:fill="FFFFFF"/>
        </w:rPr>
        <w:t>. June. Vol. 1. No. 1.</w:t>
      </w:r>
    </w:p>
    <w:p>
      <w:pPr>
        <w:spacing w:before="120" w:after="0" w:line="240" w:lineRule="auto"/>
        <w:ind w:left="709" w:hanging="709"/>
        <w:jc w:val="both"/>
        <w:rPr>
          <w:rFonts w:ascii="Arial" w:hAnsi="Arial" w:cs="Arial"/>
          <w:color w:val="000000"/>
          <w:sz w:val="20"/>
          <w:szCs w:val="20"/>
        </w:rPr>
      </w:pPr>
      <w:r>
        <w:rPr>
          <w:rFonts w:ascii="Arial" w:hAnsi="Arial" w:cs="Arial"/>
          <w:color w:val="000000"/>
          <w:sz w:val="20"/>
          <w:szCs w:val="20"/>
        </w:rPr>
        <w:t xml:space="preserve">Astuti, Septin Puji, Wiwik Wilasari, Datien Eriska Utami. 2009. Meningkatkan Kualitas Pelayanan di Bank Syariah Penelitian dengan Fuzzy Servqual dan Dimensi CARTER. </w:t>
      </w:r>
      <w:r>
        <w:rPr>
          <w:rFonts w:ascii="Arial" w:hAnsi="Arial" w:cs="Arial"/>
          <w:b/>
          <w:i/>
          <w:color w:val="000000"/>
          <w:sz w:val="20"/>
          <w:szCs w:val="20"/>
        </w:rPr>
        <w:t>Jurnal Manajemen Bisnis</w:t>
      </w:r>
      <w:r>
        <w:rPr>
          <w:rFonts w:ascii="Arial" w:hAnsi="Arial" w:cs="Arial"/>
          <w:color w:val="000000"/>
          <w:sz w:val="20"/>
          <w:szCs w:val="20"/>
        </w:rPr>
        <w:t>. April-Juli. Vol. 2. No. 1. Hal. 47-58.</w:t>
      </w:r>
    </w:p>
    <w:p>
      <w:pPr>
        <w:spacing w:before="120" w:after="0" w:line="240" w:lineRule="auto"/>
        <w:ind w:left="709" w:hanging="709"/>
        <w:jc w:val="both"/>
        <w:rPr>
          <w:rFonts w:ascii="Arial" w:hAnsi="Arial" w:cs="Arial"/>
          <w:color w:val="000000"/>
          <w:sz w:val="20"/>
          <w:szCs w:val="20"/>
        </w:rPr>
      </w:pPr>
      <w:r>
        <w:rPr>
          <w:rFonts w:ascii="Arial" w:hAnsi="Arial" w:cs="Arial"/>
          <w:color w:val="000000"/>
          <w:sz w:val="20"/>
          <w:szCs w:val="20"/>
        </w:rPr>
        <w:t xml:space="preserve">Danesh, Seiedeh Nasrin, Saeid Ahmadi Nasab, Kwek Choon Ling. 2012. The Study of Customer Satisfaction, Customer Trust, and Switching Barriers on Customer Retention in Malaysia Hypermarkets. </w:t>
      </w:r>
      <w:r>
        <w:rPr>
          <w:rFonts w:ascii="Arial" w:hAnsi="Arial" w:cs="Arial"/>
          <w:b/>
          <w:i/>
          <w:color w:val="000000"/>
          <w:sz w:val="20"/>
          <w:szCs w:val="20"/>
        </w:rPr>
        <w:t>International Journal of Business and Management</w:t>
      </w:r>
      <w:r>
        <w:rPr>
          <w:rFonts w:ascii="Arial" w:hAnsi="Arial" w:cs="Arial"/>
          <w:color w:val="000000"/>
          <w:sz w:val="20"/>
          <w:szCs w:val="20"/>
        </w:rPr>
        <w:t>. Vol. 7. No. 7.</w:t>
      </w:r>
    </w:p>
    <w:p>
      <w:pPr>
        <w:spacing w:before="120" w:after="0" w:line="240" w:lineRule="auto"/>
        <w:ind w:left="709" w:hanging="709"/>
        <w:jc w:val="both"/>
        <w:rPr>
          <w:rFonts w:ascii="Arial" w:hAnsi="Arial" w:cs="Arial"/>
          <w:color w:val="000000"/>
          <w:sz w:val="20"/>
          <w:szCs w:val="20"/>
        </w:rPr>
      </w:pPr>
      <w:r>
        <w:rPr>
          <w:rFonts w:ascii="Arial" w:hAnsi="Arial" w:cs="Arial"/>
          <w:color w:val="000000"/>
          <w:sz w:val="20"/>
          <w:szCs w:val="20"/>
        </w:rPr>
        <w:t>Das, T. K. and</w:t>
      </w:r>
      <w:r>
        <w:rPr>
          <w:rFonts w:ascii="Arial" w:hAnsi="Arial" w:cs="Arial"/>
          <w:i/>
          <w:color w:val="000000"/>
          <w:sz w:val="20"/>
          <w:szCs w:val="20"/>
        </w:rPr>
        <w:t xml:space="preserve"> </w:t>
      </w:r>
      <w:r>
        <w:rPr>
          <w:rFonts w:ascii="Arial" w:hAnsi="Arial" w:cs="Arial"/>
          <w:color w:val="000000"/>
          <w:sz w:val="20"/>
          <w:szCs w:val="20"/>
        </w:rPr>
        <w:t xml:space="preserve">Bing-Sheng Teng. 1998. Resource and Risk Management in the Strategic Alliance Making Process. </w:t>
      </w:r>
      <w:r>
        <w:rPr>
          <w:rFonts w:ascii="Arial" w:hAnsi="Arial" w:cs="Arial"/>
          <w:b/>
          <w:i/>
          <w:color w:val="000000"/>
          <w:sz w:val="20"/>
          <w:szCs w:val="20"/>
        </w:rPr>
        <w:t>Journal of Management</w:t>
      </w:r>
      <w:r>
        <w:rPr>
          <w:rFonts w:ascii="Arial" w:hAnsi="Arial" w:cs="Arial"/>
          <w:color w:val="000000"/>
          <w:sz w:val="20"/>
          <w:szCs w:val="20"/>
        </w:rPr>
        <w:t>. Vol. 24. No. 1.</w:t>
      </w:r>
    </w:p>
    <w:p>
      <w:pPr>
        <w:spacing w:before="120" w:after="0" w:line="240" w:lineRule="auto"/>
        <w:ind w:left="709" w:hanging="709"/>
        <w:jc w:val="both"/>
        <w:rPr>
          <w:rFonts w:ascii="Arial" w:hAnsi="Arial" w:cs="Arial"/>
          <w:color w:val="000000"/>
          <w:sz w:val="20"/>
          <w:szCs w:val="20"/>
        </w:rPr>
      </w:pPr>
      <w:r>
        <w:rPr>
          <w:rFonts w:ascii="Arial" w:hAnsi="Arial" w:cs="Arial"/>
          <w:color w:val="000000"/>
          <w:sz w:val="20"/>
          <w:szCs w:val="20"/>
          <w:shd w:val="clear" w:color="auto" w:fill="FFFFFF"/>
        </w:rPr>
        <w:t xml:space="preserve">Elsandra, Yesi dan Efriyuzal. 2013. Pengaruh Atribut Produk, Komitmen Agama, Kualitas Pelayanan, dan Kepercayaan terhadap Loyalitas Nasabah dengan Kepuasan sebagai Variabel Intervening. </w:t>
      </w:r>
      <w:r>
        <w:rPr>
          <w:rFonts w:ascii="Arial" w:hAnsi="Arial" w:cs="Arial"/>
          <w:b/>
          <w:i/>
          <w:color w:val="000000"/>
          <w:sz w:val="20"/>
          <w:szCs w:val="20"/>
          <w:shd w:val="clear" w:color="auto" w:fill="FFFFFF"/>
        </w:rPr>
        <w:t>Jurnal Ekonomi STIE Haji Agus Salim Bukittinggi</w:t>
      </w:r>
      <w:r>
        <w:rPr>
          <w:rFonts w:ascii="Arial" w:hAnsi="Arial" w:cs="Arial"/>
          <w:color w:val="000000"/>
          <w:sz w:val="20"/>
          <w:szCs w:val="20"/>
          <w:shd w:val="clear" w:color="auto" w:fill="FFFFFF"/>
        </w:rPr>
        <w:t>. September. Vol. XIV.  No. 2.</w:t>
      </w:r>
    </w:p>
    <w:p>
      <w:pPr>
        <w:spacing w:before="120" w:after="0" w:line="240" w:lineRule="auto"/>
        <w:ind w:left="709" w:hanging="709"/>
        <w:jc w:val="both"/>
        <w:rPr>
          <w:rFonts w:ascii="Arial" w:hAnsi="Arial" w:cs="Arial"/>
          <w:color w:val="000000"/>
          <w:sz w:val="20"/>
          <w:szCs w:val="20"/>
        </w:rPr>
      </w:pPr>
      <w:r>
        <w:rPr>
          <w:rFonts w:ascii="Arial" w:hAnsi="Arial" w:cs="Arial"/>
          <w:color w:val="000000"/>
          <w:sz w:val="20"/>
          <w:szCs w:val="20"/>
        </w:rPr>
        <w:t xml:space="preserve">Endarwita. 2013. Pengaruh Kualitas Produk dan Kualitas Pelayanan terhadap Kepuasan dan Loyalitas Nasabah Tabungan Bank BRI Cabang Simpang Empat. </w:t>
      </w:r>
      <w:r>
        <w:rPr>
          <w:rFonts w:ascii="Arial" w:hAnsi="Arial" w:cs="Arial"/>
          <w:b/>
          <w:i/>
          <w:color w:val="000000"/>
          <w:sz w:val="20"/>
          <w:szCs w:val="20"/>
        </w:rPr>
        <w:t>Jurnal Apresiasi Ekonomi</w:t>
      </w:r>
      <w:r>
        <w:rPr>
          <w:rFonts w:ascii="Arial" w:hAnsi="Arial" w:cs="Arial"/>
          <w:color w:val="000000"/>
          <w:sz w:val="20"/>
          <w:szCs w:val="20"/>
        </w:rPr>
        <w:t>. September. Vol. 1. No. 3. Hal. 167-180.</w:t>
      </w:r>
    </w:p>
    <w:p>
      <w:pPr>
        <w:spacing w:before="120" w:after="0" w:line="240" w:lineRule="auto"/>
        <w:ind w:left="709" w:hanging="709"/>
        <w:jc w:val="both"/>
        <w:rPr>
          <w:rFonts w:ascii="Arial" w:hAnsi="Arial" w:cs="Arial"/>
          <w:color w:val="000000"/>
          <w:sz w:val="20"/>
          <w:szCs w:val="20"/>
        </w:rPr>
      </w:pPr>
      <w:r>
        <w:rPr>
          <w:rFonts w:ascii="Arial" w:hAnsi="Arial" w:cs="Arial"/>
          <w:color w:val="000000"/>
          <w:sz w:val="20"/>
          <w:szCs w:val="20"/>
        </w:rPr>
        <w:t xml:space="preserve">Esti, Win, Nawazirul Lubis, Andi Wijayanto. 2013. Pengaruh Nilai Pelanggan terhadap Retensi Pelanggan Melalui Kepuasan (Studi pada Mahasiswa Jurusan Aministrasi Bisnis Universitas Diponegoro Angkatan 2009-2012 Pengguna Layanan Data Smartfren). </w:t>
      </w:r>
      <w:r>
        <w:rPr>
          <w:rFonts w:ascii="Arial" w:hAnsi="Arial" w:cs="Arial"/>
          <w:b/>
          <w:i/>
          <w:color w:val="000000"/>
          <w:sz w:val="20"/>
          <w:szCs w:val="20"/>
        </w:rPr>
        <w:t>Diponegoro Journal of Social and Politic</w:t>
      </w:r>
      <w:r>
        <w:rPr>
          <w:rFonts w:ascii="Arial" w:hAnsi="Arial" w:cs="Arial"/>
          <w:color w:val="000000"/>
          <w:sz w:val="20"/>
          <w:szCs w:val="20"/>
        </w:rPr>
        <w:t xml:space="preserve">. </w:t>
      </w:r>
    </w:p>
    <w:p>
      <w:pPr>
        <w:spacing w:before="120" w:after="0" w:line="240" w:lineRule="auto"/>
        <w:ind w:left="709" w:hanging="709"/>
        <w:jc w:val="both"/>
        <w:rPr>
          <w:rFonts w:ascii="Arial" w:hAnsi="Arial" w:cs="Arial"/>
          <w:color w:val="000000"/>
          <w:sz w:val="20"/>
          <w:szCs w:val="20"/>
        </w:rPr>
      </w:pPr>
      <w:r>
        <w:rPr>
          <w:rFonts w:ascii="Arial" w:hAnsi="Arial" w:cs="Arial"/>
          <w:color w:val="000000"/>
          <w:sz w:val="20"/>
          <w:szCs w:val="20"/>
        </w:rPr>
        <w:t xml:space="preserve">Ghozali, Imam. 2011. </w:t>
      </w:r>
      <w:r>
        <w:rPr>
          <w:rFonts w:ascii="Arial" w:hAnsi="Arial" w:cs="Arial"/>
          <w:b/>
          <w:i/>
          <w:iCs/>
          <w:color w:val="000000"/>
          <w:sz w:val="20"/>
          <w:szCs w:val="20"/>
        </w:rPr>
        <w:t>Model Persamaan Struktural Konsep dan Aplikasi dengan Program IBM SPSS 19</w:t>
      </w:r>
      <w:r>
        <w:rPr>
          <w:rFonts w:ascii="Arial" w:hAnsi="Arial" w:cs="Arial"/>
          <w:color w:val="000000"/>
          <w:sz w:val="20"/>
          <w:szCs w:val="20"/>
        </w:rPr>
        <w:t>. Semarang: Badan Penerbit Universitas Diponegoro.</w:t>
      </w:r>
    </w:p>
    <w:p>
      <w:pPr>
        <w:spacing w:before="120" w:after="0" w:line="240" w:lineRule="auto"/>
        <w:ind w:left="709" w:hanging="709"/>
        <w:jc w:val="both"/>
        <w:rPr>
          <w:rFonts w:ascii="Arial" w:hAnsi="Arial" w:cs="Arial"/>
          <w:color w:val="000000"/>
          <w:sz w:val="20"/>
          <w:szCs w:val="20"/>
        </w:rPr>
      </w:pPr>
    </w:p>
    <w:p>
      <w:pPr>
        <w:spacing w:before="120" w:after="0" w:line="240" w:lineRule="auto"/>
        <w:ind w:left="709" w:hanging="709"/>
        <w:jc w:val="both"/>
        <w:rPr>
          <w:rFonts w:ascii="Arial" w:hAnsi="Arial" w:cs="Arial"/>
          <w:color w:val="000000"/>
          <w:sz w:val="20"/>
          <w:szCs w:val="20"/>
        </w:rPr>
      </w:pPr>
      <w:r>
        <w:rPr>
          <w:rFonts w:ascii="Arial" w:hAnsi="Arial" w:cs="Arial"/>
          <w:color w:val="000000"/>
          <w:sz w:val="20"/>
          <w:szCs w:val="20"/>
        </w:rPr>
        <w:t xml:space="preserve">Ghozali, Imam.  2014. </w:t>
      </w:r>
      <w:r>
        <w:rPr>
          <w:rFonts w:ascii="Arial" w:hAnsi="Arial" w:cs="Arial"/>
          <w:b/>
          <w:i/>
          <w:iCs/>
          <w:color w:val="000000"/>
          <w:sz w:val="20"/>
          <w:szCs w:val="20"/>
        </w:rPr>
        <w:t>Model Persamaan Struktural Konsep dan Aplikasi dengan Program AMOS 22.0 Update Bayesian SEM</w:t>
      </w:r>
      <w:r>
        <w:rPr>
          <w:rFonts w:ascii="Arial" w:hAnsi="Arial" w:cs="Arial"/>
          <w:color w:val="000000"/>
          <w:sz w:val="20"/>
          <w:szCs w:val="20"/>
        </w:rPr>
        <w:t>. Semarang: Badan Penerbit Universitas Diponegoro.</w:t>
      </w:r>
    </w:p>
    <w:p>
      <w:pPr>
        <w:spacing w:after="0" w:line="240" w:lineRule="auto"/>
        <w:ind w:left="709" w:hanging="709"/>
        <w:jc w:val="both"/>
        <w:rPr>
          <w:rFonts w:ascii="Arial" w:hAnsi="Arial" w:cs="Arial"/>
          <w:color w:val="000000"/>
          <w:sz w:val="20"/>
          <w:szCs w:val="20"/>
        </w:rPr>
      </w:pPr>
      <w:r>
        <w:rPr>
          <w:rFonts w:ascii="Arial" w:hAnsi="Arial" w:cs="Arial"/>
          <w:color w:val="000000"/>
          <w:sz w:val="20"/>
          <w:szCs w:val="20"/>
        </w:rPr>
        <w:t xml:space="preserve">Hasan, Ali. 2010. </w:t>
      </w:r>
      <w:r>
        <w:rPr>
          <w:rFonts w:ascii="Arial" w:hAnsi="Arial" w:cs="Arial"/>
          <w:b/>
          <w:i/>
          <w:color w:val="000000"/>
          <w:sz w:val="20"/>
          <w:szCs w:val="20"/>
        </w:rPr>
        <w:t>Marketing Bank Syariah Cetakan Satu</w:t>
      </w:r>
      <w:r>
        <w:rPr>
          <w:rFonts w:ascii="Arial" w:hAnsi="Arial" w:cs="Arial"/>
          <w:color w:val="000000"/>
          <w:sz w:val="20"/>
          <w:szCs w:val="20"/>
        </w:rPr>
        <w:t>. Bogor: Ghalia Indonesia.</w:t>
      </w:r>
    </w:p>
    <w:p>
      <w:pPr>
        <w:tabs>
          <w:tab w:val="left" w:pos="931"/>
        </w:tabs>
        <w:spacing w:before="120" w:line="240" w:lineRule="auto"/>
        <w:ind w:left="709" w:hanging="709"/>
        <w:jc w:val="both"/>
        <w:rPr>
          <w:rFonts w:ascii="Arial" w:hAnsi="Arial" w:cs="Arial"/>
          <w:color w:val="000000"/>
          <w:sz w:val="20"/>
          <w:szCs w:val="20"/>
        </w:rPr>
      </w:pPr>
      <w:r>
        <w:rPr>
          <w:rFonts w:ascii="Arial" w:hAnsi="Arial" w:cs="Arial"/>
          <w:color w:val="000000"/>
          <w:sz w:val="20"/>
          <w:szCs w:val="20"/>
        </w:rPr>
        <w:t xml:space="preserve">Hasanah, Uswatun. 2013. Analisis Pengaruh Kualitas Pelayanan PT Bank Muamalat Indonesia Cabang Palu terhadap Tingkat Kepuasan Nasabah. </w:t>
      </w:r>
      <w:r>
        <w:rPr>
          <w:rFonts w:ascii="Arial" w:hAnsi="Arial" w:cs="Arial"/>
          <w:b/>
          <w:i/>
          <w:color w:val="000000"/>
          <w:sz w:val="20"/>
          <w:szCs w:val="20"/>
        </w:rPr>
        <w:t>ISTIQRA Jurnal Penelitian Ilmiah</w:t>
      </w:r>
      <w:r>
        <w:rPr>
          <w:rFonts w:ascii="Arial" w:hAnsi="Arial" w:cs="Arial"/>
          <w:color w:val="000000"/>
          <w:sz w:val="20"/>
          <w:szCs w:val="20"/>
        </w:rPr>
        <w:t>. Januari-Juni. Vol. 1. No. 1.</w:t>
      </w:r>
    </w:p>
    <w:p>
      <w:pPr>
        <w:tabs>
          <w:tab w:val="left" w:pos="931"/>
        </w:tabs>
        <w:spacing w:before="120" w:line="240" w:lineRule="auto"/>
        <w:ind w:left="709" w:hanging="709"/>
        <w:jc w:val="both"/>
        <w:rPr>
          <w:rFonts w:ascii="Arial" w:hAnsi="Arial" w:cs="Arial"/>
          <w:color w:val="000000"/>
          <w:sz w:val="20"/>
          <w:szCs w:val="20"/>
        </w:rPr>
      </w:pPr>
      <w:r>
        <w:rPr>
          <w:rFonts w:ascii="Arial" w:hAnsi="Arial" w:cs="Arial"/>
          <w:color w:val="000000"/>
          <w:sz w:val="20"/>
          <w:szCs w:val="20"/>
        </w:rPr>
        <w:t xml:space="preserve">Hidayat, Rachmad. 2009. Pengaruh Kualitas Layanan, Kualitas Produk, dan Nilai Nasabah terhadap Kepuasan dan Loyalitas Nasabah Bank Mandiri. </w:t>
      </w:r>
      <w:r>
        <w:rPr>
          <w:rFonts w:ascii="Arial" w:hAnsi="Arial" w:cs="Arial"/>
          <w:b/>
          <w:i/>
          <w:color w:val="000000"/>
          <w:sz w:val="20"/>
          <w:szCs w:val="20"/>
        </w:rPr>
        <w:t>Jurnal Manajemen dan Kewirausahaan</w:t>
      </w:r>
      <w:r>
        <w:rPr>
          <w:rFonts w:ascii="Arial" w:hAnsi="Arial" w:cs="Arial"/>
          <w:color w:val="000000"/>
          <w:sz w:val="20"/>
          <w:szCs w:val="20"/>
        </w:rPr>
        <w:t>. Maret. Vol. 11. No. 1. Hal. 59-72.</w:t>
      </w:r>
    </w:p>
    <w:p>
      <w:pPr>
        <w:spacing w:before="120" w:after="0" w:line="240" w:lineRule="auto"/>
        <w:ind w:left="709" w:hanging="709"/>
        <w:jc w:val="both"/>
        <w:rPr>
          <w:rFonts w:ascii="Arial" w:hAnsi="Arial" w:cs="Arial"/>
          <w:color w:val="000000"/>
          <w:sz w:val="20"/>
          <w:szCs w:val="20"/>
        </w:rPr>
      </w:pPr>
      <w:r>
        <w:rPr>
          <w:rFonts w:ascii="Arial" w:hAnsi="Arial" w:cs="Arial"/>
          <w:color w:val="000000"/>
          <w:sz w:val="20"/>
          <w:szCs w:val="20"/>
          <w:shd w:val="clear" w:color="auto" w:fill="FFFFFF"/>
        </w:rPr>
        <w:t xml:space="preserve">Ika, Dewi Nur dan Iswan Noor. 2013. Pengaruh Kualitas Layanan, Nilai Nasabah, dan Atribut Produk Islam terhadap Kepuasan Nasabah (Studi Kasus PT Bank Rakyat Indonesia Syariah Cabang Malang). </w:t>
      </w:r>
      <w:r>
        <w:rPr>
          <w:rFonts w:ascii="Arial" w:hAnsi="Arial" w:cs="Arial"/>
          <w:b/>
          <w:i/>
          <w:color w:val="000000"/>
          <w:sz w:val="20"/>
          <w:szCs w:val="20"/>
          <w:shd w:val="clear" w:color="auto" w:fill="FFFFFF"/>
        </w:rPr>
        <w:t>Jurnal Ilmiah Mahasiswa FEB.</w:t>
      </w:r>
    </w:p>
    <w:p>
      <w:pPr>
        <w:spacing w:before="120" w:after="0" w:line="240" w:lineRule="auto"/>
        <w:ind w:left="709" w:hanging="709"/>
        <w:jc w:val="both"/>
        <w:rPr>
          <w:rFonts w:ascii="Arial" w:hAnsi="Arial" w:cs="Arial"/>
          <w:color w:val="000000"/>
          <w:sz w:val="20"/>
          <w:szCs w:val="20"/>
        </w:rPr>
      </w:pPr>
      <w:r>
        <w:rPr>
          <w:rFonts w:ascii="Arial" w:hAnsi="Arial" w:cs="Arial"/>
          <w:color w:val="000000"/>
          <w:sz w:val="20"/>
          <w:szCs w:val="20"/>
        </w:rPr>
        <w:t xml:space="preserve">InfoBank. 2014. Indonesian Bank Loyalty Index (IBLI) 2012-2014 Sharia Banking (Saving Account). </w:t>
      </w:r>
      <w:r>
        <w:rPr>
          <w:rFonts w:ascii="Arial" w:hAnsi="Arial" w:cs="Arial"/>
          <w:b/>
          <w:i/>
          <w:color w:val="000000"/>
          <w:sz w:val="20"/>
          <w:szCs w:val="20"/>
        </w:rPr>
        <w:t>Majalah InfoBank</w:t>
      </w:r>
      <w:r>
        <w:rPr>
          <w:rFonts w:ascii="Arial" w:hAnsi="Arial" w:cs="Arial"/>
          <w:color w:val="000000"/>
          <w:sz w:val="20"/>
          <w:szCs w:val="20"/>
        </w:rPr>
        <w:t>. Januari. No. 418.</w:t>
      </w:r>
    </w:p>
    <w:p>
      <w:pPr>
        <w:tabs>
          <w:tab w:val="left" w:pos="931"/>
        </w:tabs>
        <w:spacing w:before="120" w:line="240" w:lineRule="auto"/>
        <w:ind w:left="709" w:hanging="709"/>
        <w:jc w:val="both"/>
        <w:rPr>
          <w:rFonts w:ascii="Arial" w:hAnsi="Arial" w:cs="Arial"/>
          <w:color w:val="000000"/>
          <w:sz w:val="20"/>
          <w:szCs w:val="20"/>
        </w:rPr>
      </w:pPr>
      <w:r>
        <w:rPr>
          <w:rFonts w:ascii="Arial" w:hAnsi="Arial" w:cs="Arial"/>
          <w:color w:val="000000"/>
          <w:sz w:val="20"/>
          <w:szCs w:val="20"/>
        </w:rPr>
        <w:t xml:space="preserve">Ismail, Riswandhi. 2014. Pengaruh Kualitas Layanan, Kualitas Produk, dan Kepuasan Nasabah sebagai Prediktor dalam Meningkatkan Loyalitas nasabah. </w:t>
      </w:r>
      <w:r>
        <w:rPr>
          <w:rFonts w:ascii="Arial" w:hAnsi="Arial" w:cs="Arial"/>
          <w:b/>
          <w:i/>
          <w:color w:val="000000"/>
          <w:sz w:val="20"/>
          <w:szCs w:val="20"/>
        </w:rPr>
        <w:t>Jurnal Organisasi Manajemen</w:t>
      </w:r>
      <w:r>
        <w:rPr>
          <w:rFonts w:ascii="Arial" w:hAnsi="Arial" w:cs="Arial"/>
          <w:color w:val="000000"/>
          <w:sz w:val="20"/>
          <w:szCs w:val="20"/>
        </w:rPr>
        <w:t>. September. Vol. 10. No. 2.</w:t>
      </w:r>
    </w:p>
    <w:p>
      <w:pPr>
        <w:spacing w:before="120" w:after="0" w:line="240" w:lineRule="auto"/>
        <w:ind w:left="709" w:hanging="709"/>
        <w:jc w:val="both"/>
        <w:rPr>
          <w:rFonts w:ascii="Arial" w:hAnsi="Arial" w:cs="Arial"/>
          <w:color w:val="000000"/>
          <w:sz w:val="20"/>
          <w:szCs w:val="20"/>
        </w:rPr>
      </w:pPr>
      <w:r>
        <w:rPr>
          <w:rFonts w:ascii="Arial" w:hAnsi="Arial" w:cs="Arial"/>
          <w:color w:val="000000"/>
          <w:sz w:val="20"/>
          <w:szCs w:val="20"/>
          <w:shd w:val="clear" w:color="auto" w:fill="FFFFFF"/>
        </w:rPr>
        <w:t xml:space="preserve">Junusi, Rahman El. 2009. Pengaruh Atribut Produk Islam, Komitmen Agama, Kualitas Jasa, dan Kepercayaan terhadap Kepuasan dan Loyalitas Nasabah Bank Syariah pada Bank Muamalat Kota Semarang. </w:t>
      </w:r>
      <w:r>
        <w:rPr>
          <w:rFonts w:ascii="Arial" w:hAnsi="Arial" w:cs="Arial"/>
          <w:b/>
          <w:i/>
          <w:color w:val="000000"/>
          <w:sz w:val="20"/>
          <w:szCs w:val="20"/>
          <w:shd w:val="clear" w:color="auto" w:fill="FFFFFF"/>
        </w:rPr>
        <w:t>Annual Conference on Islamic Studies (ACI S)</w:t>
      </w:r>
      <w:r>
        <w:rPr>
          <w:rFonts w:ascii="Arial" w:hAnsi="Arial" w:cs="Arial"/>
          <w:color w:val="000000"/>
          <w:sz w:val="20"/>
          <w:szCs w:val="20"/>
          <w:shd w:val="clear" w:color="auto" w:fill="FFFFFF"/>
        </w:rPr>
        <w:t>.</w:t>
      </w:r>
    </w:p>
    <w:p>
      <w:pPr>
        <w:spacing w:before="120" w:line="240" w:lineRule="auto"/>
        <w:ind w:left="709" w:hanging="709"/>
        <w:jc w:val="both"/>
        <w:rPr>
          <w:rFonts w:ascii="Arial" w:hAnsi="Arial" w:cs="Arial"/>
          <w:color w:val="000000"/>
          <w:sz w:val="20"/>
          <w:szCs w:val="20"/>
        </w:rPr>
      </w:pPr>
      <w:r>
        <w:rPr>
          <w:rFonts w:ascii="Arial" w:hAnsi="Arial" w:cs="Arial"/>
          <w:color w:val="000000"/>
          <w:sz w:val="20"/>
          <w:szCs w:val="20"/>
        </w:rPr>
        <w:t xml:space="preserve">Kotler, Philip. 2002. </w:t>
      </w:r>
      <w:r>
        <w:rPr>
          <w:rFonts w:ascii="Arial" w:hAnsi="Arial" w:cs="Arial"/>
          <w:b/>
          <w:i/>
          <w:color w:val="000000"/>
          <w:sz w:val="20"/>
          <w:szCs w:val="20"/>
        </w:rPr>
        <w:t>Manajemen Pemasaran Jilid 1</w:t>
      </w:r>
      <w:r>
        <w:rPr>
          <w:rFonts w:ascii="Arial" w:hAnsi="Arial" w:cs="Arial"/>
          <w:color w:val="000000"/>
          <w:sz w:val="20"/>
          <w:szCs w:val="20"/>
        </w:rPr>
        <w:t>. Jakarta: Prenhallindo.</w:t>
      </w:r>
    </w:p>
    <w:p>
      <w:pPr>
        <w:spacing w:before="120" w:after="0" w:line="240" w:lineRule="auto"/>
        <w:ind w:left="709" w:hanging="709"/>
        <w:jc w:val="both"/>
        <w:rPr>
          <w:rFonts w:ascii="Arial" w:hAnsi="Arial" w:cs="Arial"/>
          <w:color w:val="000000"/>
          <w:sz w:val="20"/>
          <w:szCs w:val="20"/>
        </w:rPr>
      </w:pPr>
      <w:r>
        <w:rPr>
          <w:rStyle w:val="9"/>
          <w:rFonts w:ascii="Arial" w:hAnsi="Arial" w:cs="Arial"/>
          <w:bCs/>
          <w:i w:val="0"/>
          <w:color w:val="000000"/>
          <w:sz w:val="20"/>
          <w:szCs w:val="20"/>
          <w:shd w:val="clear" w:color="auto" w:fill="FFFFFF"/>
        </w:rPr>
        <w:t>Kotler,</w:t>
      </w:r>
      <w:r>
        <w:rPr>
          <w:rStyle w:val="22"/>
          <w:rFonts w:ascii="Arial" w:hAnsi="Arial" w:cs="Arial"/>
          <w:i/>
          <w:color w:val="000000"/>
          <w:sz w:val="20"/>
          <w:szCs w:val="20"/>
          <w:shd w:val="clear" w:color="auto" w:fill="FFFFFF"/>
        </w:rPr>
        <w:t> </w:t>
      </w:r>
      <w:r>
        <w:rPr>
          <w:rFonts w:ascii="Arial" w:hAnsi="Arial" w:cs="Arial"/>
          <w:color w:val="000000"/>
          <w:sz w:val="20"/>
          <w:szCs w:val="20"/>
          <w:shd w:val="clear" w:color="auto" w:fill="FFFFFF"/>
        </w:rPr>
        <w:t xml:space="preserve">Philip dan </w:t>
      </w:r>
      <w:r>
        <w:rPr>
          <w:rStyle w:val="22"/>
          <w:rFonts w:ascii="Arial" w:hAnsi="Arial" w:cs="Arial"/>
          <w:color w:val="000000"/>
          <w:sz w:val="20"/>
          <w:szCs w:val="20"/>
          <w:shd w:val="clear" w:color="auto" w:fill="FFFFFF"/>
        </w:rPr>
        <w:t>Gary</w:t>
      </w:r>
      <w:r>
        <w:rPr>
          <w:rStyle w:val="22"/>
          <w:rFonts w:ascii="Arial" w:hAnsi="Arial" w:cs="Arial"/>
          <w:i/>
          <w:color w:val="000000"/>
          <w:sz w:val="20"/>
          <w:szCs w:val="20"/>
          <w:shd w:val="clear" w:color="auto" w:fill="FFFFFF"/>
        </w:rPr>
        <w:t xml:space="preserve"> </w:t>
      </w:r>
      <w:r>
        <w:rPr>
          <w:rStyle w:val="9"/>
          <w:rFonts w:ascii="Arial" w:hAnsi="Arial" w:cs="Arial"/>
          <w:bCs/>
          <w:i w:val="0"/>
          <w:color w:val="000000"/>
          <w:sz w:val="20"/>
          <w:szCs w:val="20"/>
          <w:shd w:val="clear" w:color="auto" w:fill="FFFFFF"/>
        </w:rPr>
        <w:t>Armstrong</w:t>
      </w:r>
      <w:r>
        <w:rPr>
          <w:rFonts w:ascii="Arial" w:hAnsi="Arial" w:cs="Arial"/>
          <w:i/>
          <w:color w:val="000000"/>
          <w:sz w:val="20"/>
          <w:szCs w:val="20"/>
          <w:shd w:val="clear" w:color="auto" w:fill="FFFFFF"/>
        </w:rPr>
        <w:t>.</w:t>
      </w:r>
      <w:r>
        <w:rPr>
          <w:rStyle w:val="22"/>
          <w:rFonts w:ascii="Arial" w:hAnsi="Arial" w:cs="Arial"/>
          <w:i/>
          <w:color w:val="000000"/>
          <w:sz w:val="20"/>
          <w:szCs w:val="20"/>
          <w:shd w:val="clear" w:color="auto" w:fill="FFFFFF"/>
        </w:rPr>
        <w:t> </w:t>
      </w:r>
      <w:r>
        <w:rPr>
          <w:rStyle w:val="9"/>
          <w:rFonts w:ascii="Arial" w:hAnsi="Arial" w:cs="Arial"/>
          <w:bCs/>
          <w:i w:val="0"/>
          <w:color w:val="000000"/>
          <w:sz w:val="20"/>
          <w:szCs w:val="20"/>
          <w:shd w:val="clear" w:color="auto" w:fill="FFFFFF"/>
        </w:rPr>
        <w:t>2001</w:t>
      </w:r>
      <w:r>
        <w:rPr>
          <w:rFonts w:ascii="Arial" w:hAnsi="Arial" w:cs="Arial"/>
          <w:i/>
          <w:color w:val="000000"/>
          <w:sz w:val="20"/>
          <w:szCs w:val="20"/>
          <w:shd w:val="clear" w:color="auto" w:fill="FFFFFF"/>
        </w:rPr>
        <w:t>.</w:t>
      </w:r>
      <w:r>
        <w:rPr>
          <w:rFonts w:ascii="Arial" w:hAnsi="Arial" w:cs="Arial"/>
          <w:color w:val="000000"/>
          <w:sz w:val="20"/>
          <w:szCs w:val="20"/>
          <w:shd w:val="clear" w:color="auto" w:fill="FFFFFF"/>
        </w:rPr>
        <w:t xml:space="preserve"> </w:t>
      </w:r>
      <w:r>
        <w:rPr>
          <w:rFonts w:ascii="Arial" w:hAnsi="Arial" w:cs="Arial"/>
          <w:b/>
          <w:i/>
          <w:color w:val="000000"/>
          <w:sz w:val="20"/>
          <w:szCs w:val="20"/>
          <w:shd w:val="clear" w:color="auto" w:fill="FFFFFF"/>
        </w:rPr>
        <w:t>Prinsip-Prinsip Manajemen Jilid 1 Edisi Kedelapan</w:t>
      </w:r>
      <w:r>
        <w:rPr>
          <w:rFonts w:ascii="Arial" w:hAnsi="Arial" w:cs="Arial"/>
          <w:color w:val="000000"/>
          <w:sz w:val="20"/>
          <w:szCs w:val="20"/>
          <w:shd w:val="clear" w:color="auto" w:fill="FFFFFF"/>
        </w:rPr>
        <w:t>. Jakarta: Erlangga.</w:t>
      </w:r>
    </w:p>
    <w:p>
      <w:pPr>
        <w:spacing w:before="120" w:after="0" w:line="240" w:lineRule="auto"/>
        <w:ind w:left="709" w:hanging="709"/>
        <w:jc w:val="both"/>
        <w:rPr>
          <w:rFonts w:ascii="Arial" w:hAnsi="Arial" w:cs="Arial"/>
          <w:color w:val="000000"/>
          <w:sz w:val="20"/>
          <w:szCs w:val="20"/>
        </w:rPr>
      </w:pPr>
      <w:r>
        <w:rPr>
          <w:rStyle w:val="9"/>
          <w:rFonts w:ascii="Arial" w:hAnsi="Arial" w:cs="Arial"/>
          <w:bCs/>
          <w:i w:val="0"/>
          <w:color w:val="000000"/>
          <w:sz w:val="20"/>
          <w:szCs w:val="20"/>
          <w:shd w:val="clear" w:color="auto" w:fill="FFFFFF"/>
        </w:rPr>
        <w:t>Kotler,</w:t>
      </w:r>
      <w:r>
        <w:rPr>
          <w:rStyle w:val="22"/>
          <w:rFonts w:ascii="Arial" w:hAnsi="Arial" w:cs="Arial"/>
          <w:i/>
          <w:color w:val="000000"/>
          <w:sz w:val="20"/>
          <w:szCs w:val="20"/>
          <w:shd w:val="clear" w:color="auto" w:fill="FFFFFF"/>
        </w:rPr>
        <w:t> </w:t>
      </w:r>
      <w:r>
        <w:rPr>
          <w:rFonts w:ascii="Arial" w:hAnsi="Arial" w:cs="Arial"/>
          <w:color w:val="000000"/>
          <w:sz w:val="20"/>
          <w:szCs w:val="20"/>
          <w:shd w:val="clear" w:color="auto" w:fill="FFFFFF"/>
        </w:rPr>
        <w:t>Philip</w:t>
      </w:r>
      <w:r>
        <w:rPr>
          <w:rFonts w:ascii="Arial" w:hAnsi="Arial" w:cs="Arial"/>
          <w:i/>
          <w:color w:val="000000"/>
          <w:sz w:val="20"/>
          <w:szCs w:val="20"/>
          <w:shd w:val="clear" w:color="auto" w:fill="FFFFFF"/>
        </w:rPr>
        <w:t xml:space="preserve"> </w:t>
      </w:r>
      <w:r>
        <w:rPr>
          <w:rFonts w:ascii="Arial" w:hAnsi="Arial" w:cs="Arial"/>
          <w:color w:val="000000"/>
          <w:sz w:val="20"/>
          <w:szCs w:val="20"/>
          <w:shd w:val="clear" w:color="auto" w:fill="FFFFFF"/>
        </w:rPr>
        <w:t>dan</w:t>
      </w:r>
      <w:r>
        <w:rPr>
          <w:rFonts w:ascii="Arial" w:hAnsi="Arial" w:cs="Arial"/>
          <w:i/>
          <w:color w:val="000000"/>
          <w:sz w:val="20"/>
          <w:szCs w:val="20"/>
          <w:shd w:val="clear" w:color="auto" w:fill="FFFFFF"/>
        </w:rPr>
        <w:t xml:space="preserve"> </w:t>
      </w:r>
      <w:r>
        <w:rPr>
          <w:rStyle w:val="22"/>
          <w:rFonts w:ascii="Arial" w:hAnsi="Arial" w:cs="Arial"/>
          <w:i/>
          <w:color w:val="000000"/>
          <w:sz w:val="20"/>
          <w:szCs w:val="20"/>
          <w:shd w:val="clear" w:color="auto" w:fill="FFFFFF"/>
        </w:rPr>
        <w:t xml:space="preserve">Gary </w:t>
      </w:r>
      <w:r>
        <w:rPr>
          <w:rStyle w:val="9"/>
          <w:rFonts w:ascii="Arial" w:hAnsi="Arial" w:cs="Arial"/>
          <w:bCs/>
          <w:i w:val="0"/>
          <w:color w:val="000000"/>
          <w:sz w:val="20"/>
          <w:szCs w:val="20"/>
          <w:shd w:val="clear" w:color="auto" w:fill="FFFFFF"/>
        </w:rPr>
        <w:t>Armstrong</w:t>
      </w:r>
      <w:r>
        <w:rPr>
          <w:rFonts w:ascii="Arial" w:hAnsi="Arial" w:cs="Arial"/>
          <w:i/>
          <w:color w:val="000000"/>
          <w:sz w:val="20"/>
          <w:szCs w:val="20"/>
          <w:shd w:val="clear" w:color="auto" w:fill="FFFFFF"/>
        </w:rPr>
        <w:t xml:space="preserve">. </w:t>
      </w:r>
      <w:r>
        <w:rPr>
          <w:rStyle w:val="9"/>
          <w:rFonts w:ascii="Arial" w:hAnsi="Arial" w:cs="Arial"/>
          <w:bCs/>
          <w:i w:val="0"/>
          <w:color w:val="000000"/>
          <w:sz w:val="20"/>
          <w:szCs w:val="20"/>
          <w:shd w:val="clear" w:color="auto" w:fill="FFFFFF"/>
        </w:rPr>
        <w:t>2008</w:t>
      </w:r>
      <w:r>
        <w:rPr>
          <w:rFonts w:ascii="Arial" w:hAnsi="Arial" w:cs="Arial"/>
          <w:i/>
          <w:color w:val="000000"/>
          <w:sz w:val="20"/>
          <w:szCs w:val="20"/>
          <w:shd w:val="clear" w:color="auto" w:fill="FFFFFF"/>
        </w:rPr>
        <w:t>.</w:t>
      </w:r>
      <w:r>
        <w:rPr>
          <w:rFonts w:ascii="Arial" w:hAnsi="Arial" w:cs="Arial"/>
          <w:color w:val="000000"/>
          <w:sz w:val="20"/>
          <w:szCs w:val="20"/>
          <w:shd w:val="clear" w:color="auto" w:fill="FFFFFF"/>
        </w:rPr>
        <w:t xml:space="preserve"> </w:t>
      </w:r>
      <w:r>
        <w:rPr>
          <w:rFonts w:ascii="Arial" w:hAnsi="Arial" w:cs="Arial"/>
          <w:b/>
          <w:i/>
          <w:color w:val="000000"/>
          <w:sz w:val="20"/>
          <w:szCs w:val="20"/>
          <w:shd w:val="clear" w:color="auto" w:fill="FFFFFF"/>
        </w:rPr>
        <w:t>Prinsip-Prinsip Manajemen Jilid 1 Edisi 12</w:t>
      </w:r>
      <w:r>
        <w:rPr>
          <w:rFonts w:ascii="Arial" w:hAnsi="Arial" w:cs="Arial"/>
          <w:color w:val="000000"/>
          <w:sz w:val="20"/>
          <w:szCs w:val="20"/>
          <w:shd w:val="clear" w:color="auto" w:fill="FFFFFF"/>
        </w:rPr>
        <w:t>. Jakarta: Erlangga.</w:t>
      </w:r>
    </w:p>
    <w:p>
      <w:pPr>
        <w:spacing w:after="0" w:line="240" w:lineRule="auto"/>
        <w:ind w:left="709" w:hanging="709"/>
        <w:jc w:val="both"/>
        <w:rPr>
          <w:rFonts w:ascii="Arial" w:hAnsi="Arial" w:cs="Arial"/>
          <w:color w:val="000000"/>
          <w:sz w:val="20"/>
          <w:szCs w:val="20"/>
        </w:rPr>
      </w:pPr>
      <w:r>
        <w:rPr>
          <w:rFonts w:ascii="Arial" w:hAnsi="Arial" w:cs="Arial"/>
          <w:color w:val="000000"/>
          <w:sz w:val="20"/>
          <w:szCs w:val="20"/>
        </w:rPr>
        <w:t xml:space="preserve">Lupiyoadi, Rambat. 2013. </w:t>
      </w:r>
      <w:r>
        <w:rPr>
          <w:rFonts w:ascii="Arial" w:hAnsi="Arial" w:cs="Arial"/>
          <w:b/>
          <w:i/>
          <w:color w:val="000000"/>
          <w:sz w:val="20"/>
          <w:szCs w:val="20"/>
        </w:rPr>
        <w:t xml:space="preserve">Manajemen Pemasaran Jasa. </w:t>
      </w:r>
      <w:r>
        <w:rPr>
          <w:rFonts w:ascii="Arial" w:hAnsi="Arial" w:cs="Arial"/>
          <w:color w:val="000000"/>
          <w:sz w:val="20"/>
          <w:szCs w:val="20"/>
        </w:rPr>
        <w:t>Jakarta: Salemba Empat.</w:t>
      </w:r>
    </w:p>
    <w:p>
      <w:pPr>
        <w:spacing w:before="120" w:line="240" w:lineRule="auto"/>
        <w:ind w:left="709" w:hanging="709"/>
        <w:jc w:val="both"/>
        <w:rPr>
          <w:rFonts w:ascii="Arial" w:hAnsi="Arial" w:cs="Arial"/>
          <w:b/>
          <w:bCs/>
          <w:i/>
          <w:iCs/>
          <w:color w:val="000000"/>
          <w:sz w:val="20"/>
          <w:szCs w:val="20"/>
        </w:rPr>
      </w:pPr>
      <w:r>
        <w:rPr>
          <w:rFonts w:ascii="Arial" w:hAnsi="Arial" w:cs="Arial"/>
          <w:color w:val="000000"/>
          <w:sz w:val="20"/>
          <w:szCs w:val="20"/>
        </w:rPr>
        <w:t xml:space="preserve">Medan Bisnis. 2014. Ekonomi Syariah Harus Dibangun dari Biji Bukan Cangkokan. </w:t>
      </w:r>
      <w:r>
        <w:rPr>
          <w:rFonts w:ascii="Arial" w:hAnsi="Arial" w:cs="Arial"/>
          <w:b/>
          <w:bCs/>
          <w:i/>
          <w:iCs/>
          <w:color w:val="000000"/>
          <w:sz w:val="20"/>
          <w:szCs w:val="20"/>
        </w:rPr>
        <w:t xml:space="preserve">Majalah </w:t>
      </w:r>
      <w:r>
        <w:rPr>
          <w:rFonts w:ascii="Arial" w:hAnsi="Arial" w:cs="Arial"/>
          <w:b/>
          <w:i/>
          <w:color w:val="000000"/>
          <w:sz w:val="20"/>
          <w:szCs w:val="20"/>
        </w:rPr>
        <w:t>Medan Bisnis</w:t>
      </w:r>
      <w:r>
        <w:rPr>
          <w:rFonts w:ascii="Arial" w:hAnsi="Arial" w:cs="Arial"/>
          <w:b/>
          <w:bCs/>
          <w:i/>
          <w:iCs/>
          <w:color w:val="000000"/>
          <w:sz w:val="20"/>
          <w:szCs w:val="20"/>
        </w:rPr>
        <w:t>.</w:t>
      </w:r>
    </w:p>
    <w:p>
      <w:pPr>
        <w:spacing w:before="120" w:after="0" w:line="240" w:lineRule="auto"/>
        <w:ind w:left="709" w:hanging="709"/>
        <w:jc w:val="both"/>
        <w:rPr>
          <w:rFonts w:ascii="Arial" w:hAnsi="Arial" w:cs="Arial"/>
          <w:color w:val="000000"/>
          <w:sz w:val="20"/>
          <w:szCs w:val="20"/>
        </w:rPr>
      </w:pPr>
      <w:r>
        <w:rPr>
          <w:rFonts w:ascii="Arial" w:hAnsi="Arial" w:cs="Arial"/>
          <w:color w:val="000000"/>
          <w:sz w:val="20"/>
          <w:szCs w:val="20"/>
        </w:rPr>
        <w:t>Mostert, P. G., C. F. De Meyer, L. R. J. Van Renburg. 2009. The Influence of Service Failure and Service Recovery on Airline Passengers’ Relationship with Domestic Airlines: an Exploratory Study</w:t>
      </w:r>
      <w:r>
        <w:rPr>
          <w:rFonts w:ascii="Arial" w:hAnsi="Arial" w:cs="Arial"/>
          <w:i/>
          <w:color w:val="000000"/>
          <w:sz w:val="20"/>
          <w:szCs w:val="20"/>
        </w:rPr>
        <w:t>.</w:t>
      </w:r>
      <w:r>
        <w:rPr>
          <w:rFonts w:ascii="Arial" w:hAnsi="Arial" w:cs="Arial"/>
          <w:b/>
          <w:i/>
          <w:color w:val="000000"/>
          <w:sz w:val="20"/>
          <w:szCs w:val="20"/>
        </w:rPr>
        <w:t xml:space="preserve"> Soutthern African Business Review Volume</w:t>
      </w:r>
      <w:r>
        <w:rPr>
          <w:rFonts w:ascii="Arial" w:hAnsi="Arial" w:cs="Arial"/>
          <w:b/>
          <w:color w:val="000000"/>
          <w:sz w:val="20"/>
          <w:szCs w:val="20"/>
        </w:rPr>
        <w:t xml:space="preserve">. </w:t>
      </w:r>
      <w:r>
        <w:rPr>
          <w:rFonts w:ascii="Arial" w:hAnsi="Arial" w:cs="Arial"/>
          <w:color w:val="000000"/>
          <w:sz w:val="20"/>
          <w:szCs w:val="20"/>
        </w:rPr>
        <w:t>Vol. 13. No. 2.</w:t>
      </w:r>
    </w:p>
    <w:p>
      <w:pPr>
        <w:spacing w:before="120" w:after="0" w:line="240" w:lineRule="auto"/>
        <w:ind w:left="709" w:hanging="709"/>
        <w:jc w:val="both"/>
        <w:rPr>
          <w:rFonts w:ascii="Arial" w:hAnsi="Arial" w:cs="Arial"/>
          <w:color w:val="000000"/>
          <w:sz w:val="20"/>
          <w:szCs w:val="20"/>
        </w:rPr>
      </w:pPr>
      <w:r>
        <w:rPr>
          <w:rFonts w:ascii="Arial" w:hAnsi="Arial" w:cs="Arial"/>
          <w:color w:val="000000"/>
          <w:sz w:val="20"/>
          <w:szCs w:val="20"/>
        </w:rPr>
        <w:t>Othman, AbdulQawi and Lynn Owen. 2001. Adopting and Measuring Customer Service Quality (SQ) in Islamic Banks: A Case Study in Kuwait Finance House</w:t>
      </w:r>
      <w:r>
        <w:rPr>
          <w:rFonts w:ascii="Arial" w:hAnsi="Arial" w:cs="Arial"/>
          <w:i/>
          <w:color w:val="000000"/>
          <w:sz w:val="20"/>
          <w:szCs w:val="20"/>
        </w:rPr>
        <w:t>.</w:t>
      </w:r>
      <w:r>
        <w:rPr>
          <w:rFonts w:ascii="Arial" w:hAnsi="Arial" w:cs="Arial"/>
          <w:color w:val="000000"/>
          <w:sz w:val="20"/>
          <w:szCs w:val="20"/>
        </w:rPr>
        <w:t xml:space="preserve"> </w:t>
      </w:r>
      <w:r>
        <w:rPr>
          <w:rFonts w:ascii="Arial" w:hAnsi="Arial" w:cs="Arial"/>
          <w:b/>
          <w:i/>
          <w:color w:val="000000"/>
          <w:sz w:val="20"/>
          <w:szCs w:val="20"/>
        </w:rPr>
        <w:t>International Journal of Islamic Services</w:t>
      </w:r>
      <w:r>
        <w:rPr>
          <w:rFonts w:ascii="Arial" w:hAnsi="Arial" w:cs="Arial"/>
          <w:color w:val="000000"/>
          <w:sz w:val="20"/>
          <w:szCs w:val="20"/>
        </w:rPr>
        <w:t>. Vol. 3. No. 1.</w:t>
      </w:r>
    </w:p>
    <w:p>
      <w:pPr>
        <w:spacing w:before="120" w:after="0" w:line="240" w:lineRule="auto"/>
        <w:ind w:left="709" w:hanging="709"/>
        <w:jc w:val="both"/>
        <w:rPr>
          <w:rFonts w:ascii="Arial" w:hAnsi="Arial" w:cs="Arial"/>
          <w:color w:val="000000"/>
          <w:sz w:val="20"/>
          <w:szCs w:val="20"/>
        </w:rPr>
      </w:pPr>
      <w:r>
        <w:rPr>
          <w:rFonts w:ascii="Arial" w:hAnsi="Arial" w:cs="Arial"/>
          <w:color w:val="000000"/>
          <w:sz w:val="20"/>
          <w:szCs w:val="20"/>
        </w:rPr>
        <w:t xml:space="preserve">Panjaitan, Bill Ovid Audibeti, Naili Farida, Sari Listyorini. 2015. Pengaruh Reputasi Perusahaan dan Kualitas Pelayanan terhadap Retensi Pelanggan dengan Kepuasan sebagai Variabel Intervening pada Maskapai Penerbangan Sriwijaya Air Semarang. </w:t>
      </w:r>
      <w:r>
        <w:rPr>
          <w:rFonts w:ascii="Arial" w:hAnsi="Arial" w:cs="Arial"/>
          <w:b/>
          <w:i/>
          <w:color w:val="000000"/>
          <w:sz w:val="20"/>
          <w:szCs w:val="20"/>
        </w:rPr>
        <w:t>Jurnal Ilmu Administrasi Bisnis</w:t>
      </w:r>
      <w:r>
        <w:rPr>
          <w:rFonts w:ascii="Arial" w:hAnsi="Arial" w:cs="Arial"/>
          <w:color w:val="000000"/>
          <w:sz w:val="20"/>
          <w:szCs w:val="20"/>
        </w:rPr>
        <w:t>. Vol. 4. No. 1.</w:t>
      </w:r>
    </w:p>
    <w:p>
      <w:pPr>
        <w:spacing w:before="120" w:after="0" w:line="240" w:lineRule="auto"/>
        <w:ind w:left="709" w:hanging="709"/>
        <w:jc w:val="both"/>
        <w:rPr>
          <w:rFonts w:ascii="Arial" w:hAnsi="Arial" w:cs="Arial"/>
          <w:color w:val="000000"/>
          <w:sz w:val="20"/>
          <w:szCs w:val="20"/>
        </w:rPr>
      </w:pPr>
      <w:r>
        <w:rPr>
          <w:rFonts w:ascii="Arial" w:hAnsi="Arial" w:cs="Arial"/>
          <w:color w:val="000000"/>
          <w:sz w:val="20"/>
          <w:szCs w:val="20"/>
        </w:rPr>
        <w:t xml:space="preserve">Rangkuti, Freddy. 2003. </w:t>
      </w:r>
      <w:r>
        <w:rPr>
          <w:rFonts w:ascii="Arial" w:hAnsi="Arial" w:cs="Arial"/>
          <w:b/>
          <w:i/>
          <w:color w:val="000000"/>
          <w:sz w:val="20"/>
          <w:szCs w:val="20"/>
        </w:rPr>
        <w:t>Measuring Customer Satisfaction</w:t>
      </w:r>
      <w:r>
        <w:rPr>
          <w:rFonts w:ascii="Arial" w:hAnsi="Arial" w:cs="Arial"/>
          <w:color w:val="000000"/>
          <w:sz w:val="20"/>
          <w:szCs w:val="20"/>
        </w:rPr>
        <w:t>. Jakarta: PT Gramedia Pustaka Tama.</w:t>
      </w:r>
    </w:p>
    <w:p>
      <w:pPr>
        <w:spacing w:before="120" w:after="0" w:line="240" w:lineRule="auto"/>
        <w:ind w:left="709" w:hanging="709"/>
        <w:jc w:val="both"/>
        <w:rPr>
          <w:rFonts w:ascii="Arial" w:hAnsi="Arial" w:cs="Arial"/>
          <w:color w:val="000000"/>
          <w:sz w:val="20"/>
          <w:szCs w:val="20"/>
        </w:rPr>
      </w:pPr>
      <w:r>
        <w:rPr>
          <w:rFonts w:ascii="Arial" w:hAnsi="Arial" w:cs="Arial"/>
          <w:color w:val="000000"/>
          <w:sz w:val="20"/>
          <w:szCs w:val="20"/>
        </w:rPr>
        <w:t xml:space="preserve">Santoso, Singgih dan Fandy Tjiptono. 2001. </w:t>
      </w:r>
      <w:r>
        <w:rPr>
          <w:rFonts w:ascii="Arial" w:hAnsi="Arial" w:cs="Arial"/>
          <w:b/>
          <w:bCs/>
          <w:i/>
          <w:iCs/>
          <w:color w:val="000000"/>
          <w:sz w:val="20"/>
          <w:szCs w:val="20"/>
        </w:rPr>
        <w:t xml:space="preserve">Riset Pemasaran: Konsep dan Aplikasi SPSS. </w:t>
      </w:r>
      <w:r>
        <w:rPr>
          <w:rFonts w:ascii="Arial" w:hAnsi="Arial" w:cs="Arial"/>
          <w:color w:val="000000"/>
          <w:sz w:val="20"/>
          <w:szCs w:val="20"/>
        </w:rPr>
        <w:t>Jakarta: PT Elex Media Komputindo.</w:t>
      </w:r>
    </w:p>
    <w:p>
      <w:pPr>
        <w:spacing w:before="120" w:after="0" w:line="240" w:lineRule="auto"/>
        <w:ind w:left="709" w:hanging="709"/>
        <w:jc w:val="both"/>
        <w:rPr>
          <w:rFonts w:ascii="Arial" w:hAnsi="Arial" w:cs="Arial"/>
          <w:color w:val="000000"/>
          <w:sz w:val="20"/>
          <w:szCs w:val="20"/>
        </w:rPr>
      </w:pPr>
      <w:r>
        <w:rPr>
          <w:rFonts w:ascii="Arial" w:hAnsi="Arial" w:cs="Arial"/>
          <w:color w:val="000000"/>
          <w:sz w:val="20"/>
          <w:szCs w:val="20"/>
          <w:shd w:val="clear" w:color="auto" w:fill="FFFFFF"/>
        </w:rPr>
        <w:t xml:space="preserve">Sari, Dewi Harmila dan Nanang Suryadi. 2013. Pengaruh Kepuasan Pelanggan dan Switching Barrier terhadap Customer Retention Kartu GSM (Studi Kasus pada Mahasiswa S1 Universitas Brawijaya Malang). </w:t>
      </w:r>
      <w:r>
        <w:rPr>
          <w:rFonts w:ascii="Arial" w:hAnsi="Arial" w:cs="Arial"/>
          <w:b/>
          <w:i/>
          <w:color w:val="000000"/>
          <w:sz w:val="20"/>
          <w:szCs w:val="20"/>
          <w:shd w:val="clear" w:color="auto" w:fill="FFFFFF"/>
        </w:rPr>
        <w:t>Jurnal Mahasiswa FEB</w:t>
      </w:r>
      <w:r>
        <w:rPr>
          <w:rFonts w:ascii="Arial" w:hAnsi="Arial" w:cs="Arial"/>
          <w:i/>
          <w:color w:val="000000"/>
          <w:sz w:val="20"/>
          <w:szCs w:val="20"/>
          <w:shd w:val="clear" w:color="auto" w:fill="FFFFFF"/>
        </w:rPr>
        <w:t>.</w:t>
      </w:r>
    </w:p>
    <w:p>
      <w:pPr>
        <w:spacing w:before="120" w:after="0" w:line="240" w:lineRule="auto"/>
        <w:ind w:left="709" w:hanging="709"/>
        <w:jc w:val="both"/>
        <w:rPr>
          <w:rFonts w:ascii="Arial" w:hAnsi="Arial" w:cs="Arial"/>
          <w:color w:val="000000"/>
          <w:sz w:val="20"/>
          <w:szCs w:val="20"/>
        </w:rPr>
      </w:pPr>
      <w:r>
        <w:rPr>
          <w:rFonts w:ascii="Arial" w:hAnsi="Arial" w:cs="Arial"/>
          <w:bCs/>
          <w:iCs/>
          <w:color w:val="000000"/>
          <w:sz w:val="20"/>
          <w:szCs w:val="20"/>
        </w:rPr>
        <w:t xml:space="preserve">Sarjono, Haryadi dan Winda Julianita. 2011. </w:t>
      </w:r>
      <w:r>
        <w:rPr>
          <w:rFonts w:ascii="Arial" w:hAnsi="Arial" w:cs="Arial"/>
          <w:b/>
          <w:bCs/>
          <w:i/>
          <w:iCs/>
          <w:color w:val="000000"/>
          <w:sz w:val="20"/>
          <w:szCs w:val="20"/>
        </w:rPr>
        <w:t>SPSS vs LISREL: Sebuah Pengantar, Aplikasi untuk Riset</w:t>
      </w:r>
      <w:r>
        <w:rPr>
          <w:rFonts w:ascii="Arial" w:hAnsi="Arial" w:cs="Arial"/>
          <w:bCs/>
          <w:iCs/>
          <w:color w:val="000000"/>
          <w:sz w:val="20"/>
          <w:szCs w:val="20"/>
        </w:rPr>
        <w:t>. Jakarta: Salemba Empat.</w:t>
      </w:r>
    </w:p>
    <w:p>
      <w:pPr>
        <w:tabs>
          <w:tab w:val="left" w:pos="931"/>
        </w:tabs>
        <w:spacing w:before="120" w:line="240" w:lineRule="auto"/>
        <w:ind w:left="709" w:hanging="709"/>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Sungkawa, Enyang. 2014. Pengaruh Komitmen Agama dan Kepercayaan terhadap Loyalitas Nasabah dan Kepuasan sebagai Variabel </w:t>
      </w:r>
      <w:r>
        <w:rPr>
          <w:rFonts w:ascii="Arial" w:hAnsi="Arial" w:cs="Arial"/>
          <w:i/>
          <w:color w:val="000000"/>
          <w:sz w:val="20"/>
          <w:szCs w:val="20"/>
          <w:shd w:val="clear" w:color="auto" w:fill="FFFFFF"/>
        </w:rPr>
        <w:t>Intervening</w:t>
      </w:r>
      <w:r>
        <w:rPr>
          <w:rFonts w:ascii="Arial" w:hAnsi="Arial" w:cs="Arial"/>
          <w:color w:val="000000"/>
          <w:sz w:val="20"/>
          <w:szCs w:val="20"/>
          <w:shd w:val="clear" w:color="auto" w:fill="FFFFFF"/>
        </w:rPr>
        <w:t xml:space="preserve"> pada Nasabah Tabungan Bank Syariah Mandiri KCP Painan. </w:t>
      </w:r>
      <w:r>
        <w:rPr>
          <w:rFonts w:ascii="Arial" w:hAnsi="Arial" w:cs="Arial"/>
          <w:b/>
          <w:i/>
          <w:color w:val="000000"/>
          <w:sz w:val="20"/>
          <w:szCs w:val="20"/>
          <w:shd w:val="clear" w:color="auto" w:fill="FFFFFF"/>
        </w:rPr>
        <w:t>E-jurnal</w:t>
      </w:r>
      <w:r>
        <w:rPr>
          <w:rFonts w:ascii="Arial" w:hAnsi="Arial" w:cs="Arial"/>
          <w:color w:val="000000"/>
          <w:sz w:val="20"/>
          <w:szCs w:val="20"/>
          <w:shd w:val="clear" w:color="auto" w:fill="FFFFFF"/>
        </w:rPr>
        <w:t>. Vol. 4. No. 2.</w:t>
      </w:r>
    </w:p>
    <w:p>
      <w:pPr>
        <w:spacing w:before="120" w:after="0" w:line="240" w:lineRule="auto"/>
        <w:ind w:left="709" w:hanging="709"/>
        <w:jc w:val="both"/>
        <w:rPr>
          <w:rFonts w:ascii="Arial" w:hAnsi="Arial" w:cs="Arial"/>
          <w:bCs/>
          <w:iCs/>
          <w:color w:val="000000"/>
          <w:sz w:val="20"/>
          <w:szCs w:val="20"/>
        </w:rPr>
      </w:pPr>
      <w:r>
        <w:rPr>
          <w:rFonts w:ascii="Arial" w:hAnsi="Arial" w:cs="Arial"/>
          <w:color w:val="000000"/>
          <w:sz w:val="20"/>
          <w:szCs w:val="20"/>
        </w:rPr>
        <w:t xml:space="preserve">Tjiptono, Fandy. 2011. </w:t>
      </w:r>
      <w:r>
        <w:rPr>
          <w:rFonts w:ascii="Arial" w:hAnsi="Arial" w:cs="Arial"/>
          <w:b/>
          <w:i/>
          <w:color w:val="000000"/>
          <w:sz w:val="20"/>
          <w:szCs w:val="20"/>
        </w:rPr>
        <w:t>Pemasaran Jasa</w:t>
      </w:r>
      <w:r>
        <w:rPr>
          <w:rFonts w:ascii="Arial" w:hAnsi="Arial" w:cs="Arial"/>
          <w:color w:val="000000"/>
          <w:sz w:val="20"/>
          <w:szCs w:val="20"/>
        </w:rPr>
        <w:t>. Malang: Bayumedia Publishing.</w:t>
      </w:r>
    </w:p>
    <w:p>
      <w:pPr>
        <w:spacing w:before="120" w:after="0" w:line="240" w:lineRule="auto"/>
        <w:ind w:left="709" w:hanging="709"/>
        <w:jc w:val="both"/>
        <w:rPr>
          <w:rFonts w:ascii="Arial" w:hAnsi="Arial" w:cs="Arial"/>
          <w:bCs/>
          <w:iCs/>
          <w:color w:val="000000"/>
          <w:sz w:val="20"/>
          <w:szCs w:val="20"/>
        </w:rPr>
      </w:pPr>
      <w:r>
        <w:rPr>
          <w:rFonts w:ascii="Arial" w:hAnsi="Arial" w:cs="Arial"/>
          <w:color w:val="000000"/>
          <w:sz w:val="20"/>
          <w:szCs w:val="20"/>
        </w:rPr>
        <w:t xml:space="preserve">Tjiptono, Fandy. 2008. </w:t>
      </w:r>
      <w:r>
        <w:rPr>
          <w:rFonts w:ascii="Arial" w:hAnsi="Arial" w:cs="Arial"/>
          <w:b/>
          <w:i/>
          <w:color w:val="000000"/>
          <w:sz w:val="20"/>
          <w:szCs w:val="20"/>
        </w:rPr>
        <w:t>Strategi Pemasaran</w:t>
      </w:r>
      <w:r>
        <w:rPr>
          <w:rFonts w:ascii="Arial" w:hAnsi="Arial" w:cs="Arial"/>
          <w:color w:val="000000"/>
          <w:sz w:val="20"/>
          <w:szCs w:val="20"/>
        </w:rPr>
        <w:t xml:space="preserve"> </w:t>
      </w:r>
      <w:r>
        <w:rPr>
          <w:rFonts w:ascii="Arial" w:hAnsi="Arial" w:cs="Arial"/>
          <w:b/>
          <w:i/>
          <w:color w:val="000000"/>
          <w:sz w:val="20"/>
          <w:szCs w:val="20"/>
        </w:rPr>
        <w:t>Edisi III</w:t>
      </w:r>
      <w:r>
        <w:rPr>
          <w:rFonts w:ascii="Arial" w:hAnsi="Arial" w:cs="Arial"/>
          <w:color w:val="000000"/>
          <w:sz w:val="20"/>
          <w:szCs w:val="20"/>
        </w:rPr>
        <w:t>. Yogyakarta: ANDI.</w:t>
      </w:r>
    </w:p>
    <w:p>
      <w:pPr>
        <w:tabs>
          <w:tab w:val="left" w:pos="931"/>
        </w:tabs>
        <w:spacing w:before="120" w:line="240" w:lineRule="auto"/>
        <w:ind w:left="709" w:hanging="709"/>
        <w:jc w:val="both"/>
        <w:rPr>
          <w:rFonts w:ascii="Arial" w:hAnsi="Arial" w:cs="Arial"/>
          <w:color w:val="000000"/>
          <w:sz w:val="20"/>
          <w:szCs w:val="20"/>
        </w:rPr>
      </w:pPr>
      <w:r>
        <w:rPr>
          <w:rFonts w:ascii="Arial" w:hAnsi="Arial" w:cs="Arial"/>
          <w:color w:val="000000"/>
          <w:sz w:val="20"/>
          <w:szCs w:val="20"/>
        </w:rPr>
        <w:t xml:space="preserve">Tumangkeng, Gerardo Andrew. 2013. Kualitas Produk, Suku Bunga, dan Kualitas Pelayanan Pengaruhnya terhadap Kepuasan Pelanggan KPR Bank BTN Cabang Manado. </w:t>
      </w:r>
      <w:r>
        <w:rPr>
          <w:rFonts w:ascii="Arial" w:hAnsi="Arial" w:cs="Arial"/>
          <w:b/>
          <w:i/>
          <w:color w:val="000000"/>
          <w:sz w:val="20"/>
          <w:szCs w:val="20"/>
        </w:rPr>
        <w:t>Jurnal EMBA</w:t>
      </w:r>
      <w:r>
        <w:rPr>
          <w:rFonts w:ascii="Arial" w:hAnsi="Arial" w:cs="Arial"/>
          <w:color w:val="000000"/>
          <w:sz w:val="20"/>
          <w:szCs w:val="20"/>
        </w:rPr>
        <w:t>. Desember. Vol. 1. No. 4. Hal. 78-85.</w:t>
      </w:r>
    </w:p>
    <w:p>
      <w:pPr>
        <w:spacing w:before="120" w:after="0" w:line="240" w:lineRule="auto"/>
        <w:ind w:left="709" w:hanging="709"/>
        <w:jc w:val="both"/>
        <w:rPr>
          <w:rFonts w:ascii="Arial" w:hAnsi="Arial" w:cs="Arial"/>
          <w:color w:val="000000"/>
          <w:sz w:val="20"/>
          <w:szCs w:val="20"/>
        </w:rPr>
      </w:pPr>
      <w:r>
        <w:rPr>
          <w:rFonts w:ascii="Arial" w:hAnsi="Arial" w:cs="Arial"/>
          <w:color w:val="000000"/>
          <w:sz w:val="20"/>
          <w:szCs w:val="20"/>
        </w:rPr>
        <w:t xml:space="preserve">Zulkifli. 2012. Relationship Marketing terhadap Customer Retention dan Customer Loyalty pada Nasabah PT Bank Mega, Tbk Malang. </w:t>
      </w:r>
      <w:r>
        <w:rPr>
          <w:rFonts w:ascii="Arial" w:hAnsi="Arial" w:cs="Arial"/>
          <w:b/>
          <w:i/>
          <w:color w:val="000000"/>
          <w:sz w:val="20"/>
          <w:szCs w:val="20"/>
        </w:rPr>
        <w:t>Jurnal Manajemen dan Akuntansi</w:t>
      </w:r>
      <w:r>
        <w:rPr>
          <w:rFonts w:ascii="Arial" w:hAnsi="Arial" w:cs="Arial"/>
          <w:color w:val="000000"/>
          <w:sz w:val="20"/>
          <w:szCs w:val="20"/>
        </w:rPr>
        <w:t>. Vol. 1. No. 1.</w:t>
      </w:r>
    </w:p>
    <w:p>
      <w:pPr>
        <w:spacing w:before="120" w:after="0" w:line="240" w:lineRule="auto"/>
        <w:ind w:left="709" w:hanging="709"/>
        <w:jc w:val="both"/>
        <w:rPr>
          <w:rFonts w:ascii="Arial" w:hAnsi="Arial" w:cs="Arial"/>
          <w:color w:val="000000"/>
          <w:sz w:val="20"/>
          <w:szCs w:val="20"/>
        </w:rPr>
        <w:sectPr>
          <w:type w:val="continuous"/>
          <w:pgSz w:w="11906" w:h="16838"/>
          <w:pgMar w:top="1701" w:right="1701" w:bottom="1701" w:left="1701" w:header="709" w:footer="587" w:gutter="0"/>
          <w:cols w:space="397" w:num="2"/>
          <w:docGrid w:linePitch="360" w:charSpace="0"/>
        </w:sectPr>
      </w:pPr>
    </w:p>
    <w:p>
      <w:pPr>
        <w:spacing w:before="120" w:after="0" w:line="240" w:lineRule="auto"/>
        <w:ind w:left="709" w:hanging="709"/>
        <w:jc w:val="both"/>
        <w:rPr>
          <w:rFonts w:ascii="Arial" w:hAnsi="Arial" w:cs="Arial"/>
          <w:color w:val="000000"/>
          <w:sz w:val="20"/>
          <w:szCs w:val="20"/>
        </w:rPr>
      </w:pPr>
    </w:p>
    <w:p>
      <w:pPr>
        <w:autoSpaceDE w:val="0"/>
        <w:autoSpaceDN w:val="0"/>
        <w:adjustRightInd w:val="0"/>
        <w:spacing w:after="0" w:line="240" w:lineRule="auto"/>
        <w:ind w:left="851" w:hanging="851"/>
        <w:jc w:val="both"/>
        <w:rPr>
          <w:rFonts w:ascii="Arial" w:hAnsi="Arial" w:cs="Arial"/>
          <w:color w:val="000000"/>
        </w:rPr>
      </w:pPr>
    </w:p>
    <w:p>
      <w:pPr>
        <w:autoSpaceDE w:val="0"/>
        <w:autoSpaceDN w:val="0"/>
        <w:adjustRightInd w:val="0"/>
        <w:spacing w:after="0" w:line="240" w:lineRule="auto"/>
        <w:ind w:left="851" w:hanging="851"/>
        <w:jc w:val="both"/>
        <w:rPr>
          <w:rFonts w:ascii="Arial" w:hAnsi="Arial" w:cs="Arial"/>
          <w:color w:val="000000"/>
        </w:rPr>
      </w:pPr>
    </w:p>
    <w:p>
      <w:pPr>
        <w:autoSpaceDE w:val="0"/>
        <w:autoSpaceDN w:val="0"/>
        <w:adjustRightInd w:val="0"/>
        <w:spacing w:after="0" w:line="240" w:lineRule="auto"/>
        <w:ind w:left="851" w:hanging="851"/>
        <w:jc w:val="both"/>
        <w:rPr>
          <w:rFonts w:ascii="Arial" w:hAnsi="Arial" w:cs="Arial"/>
          <w:color w:val="000000"/>
        </w:rPr>
      </w:pPr>
    </w:p>
    <w:p>
      <w:pPr>
        <w:autoSpaceDE w:val="0"/>
        <w:autoSpaceDN w:val="0"/>
        <w:adjustRightInd w:val="0"/>
        <w:spacing w:after="0" w:line="240" w:lineRule="auto"/>
        <w:ind w:left="851" w:hanging="851"/>
        <w:jc w:val="both"/>
        <w:rPr>
          <w:rFonts w:ascii="Arial" w:hAnsi="Arial" w:cs="Arial"/>
          <w:color w:val="000000"/>
        </w:rPr>
      </w:pPr>
    </w:p>
    <w:p>
      <w:pPr>
        <w:autoSpaceDE w:val="0"/>
        <w:autoSpaceDN w:val="0"/>
        <w:adjustRightInd w:val="0"/>
        <w:spacing w:after="0" w:line="240" w:lineRule="auto"/>
        <w:ind w:left="851" w:hanging="851"/>
        <w:jc w:val="both"/>
        <w:rPr>
          <w:rFonts w:ascii="Arial" w:hAnsi="Arial" w:cs="Arial"/>
          <w:color w:val="000000"/>
        </w:rPr>
      </w:pPr>
    </w:p>
    <w:p>
      <w:pPr>
        <w:autoSpaceDE w:val="0"/>
        <w:autoSpaceDN w:val="0"/>
        <w:adjustRightInd w:val="0"/>
        <w:spacing w:after="0" w:line="240" w:lineRule="auto"/>
        <w:ind w:left="851" w:hanging="851"/>
        <w:jc w:val="both"/>
        <w:rPr>
          <w:rFonts w:ascii="Arial" w:hAnsi="Arial" w:cs="Arial"/>
          <w:color w:val="000000"/>
        </w:rPr>
      </w:pPr>
    </w:p>
    <w:p>
      <w:pPr>
        <w:autoSpaceDE w:val="0"/>
        <w:autoSpaceDN w:val="0"/>
        <w:adjustRightInd w:val="0"/>
        <w:spacing w:after="0" w:line="240" w:lineRule="auto"/>
        <w:ind w:left="851" w:hanging="851"/>
        <w:jc w:val="both"/>
        <w:rPr>
          <w:rFonts w:ascii="Arial" w:hAnsi="Arial" w:cs="Arial"/>
          <w:color w:val="000000"/>
        </w:rPr>
      </w:pPr>
    </w:p>
    <w:p>
      <w:pPr>
        <w:autoSpaceDE w:val="0"/>
        <w:autoSpaceDN w:val="0"/>
        <w:adjustRightInd w:val="0"/>
        <w:spacing w:after="0" w:line="240" w:lineRule="auto"/>
        <w:ind w:left="851" w:hanging="851"/>
        <w:jc w:val="both"/>
        <w:rPr>
          <w:rFonts w:ascii="Arial" w:hAnsi="Arial" w:cs="Arial"/>
          <w:color w:val="000000"/>
        </w:rPr>
      </w:pPr>
    </w:p>
    <w:p>
      <w:pPr>
        <w:autoSpaceDE w:val="0"/>
        <w:autoSpaceDN w:val="0"/>
        <w:adjustRightInd w:val="0"/>
        <w:spacing w:after="0" w:line="240" w:lineRule="auto"/>
        <w:ind w:left="851" w:hanging="851"/>
        <w:jc w:val="both"/>
        <w:rPr>
          <w:rFonts w:ascii="Arial" w:hAnsi="Arial" w:cs="Arial"/>
          <w:color w:val="000000"/>
        </w:rPr>
      </w:pPr>
    </w:p>
    <w:p>
      <w:pPr>
        <w:autoSpaceDE w:val="0"/>
        <w:autoSpaceDN w:val="0"/>
        <w:adjustRightInd w:val="0"/>
        <w:spacing w:after="0" w:line="240" w:lineRule="auto"/>
        <w:ind w:left="851" w:hanging="851"/>
        <w:jc w:val="both"/>
        <w:rPr>
          <w:rFonts w:ascii="Arial" w:hAnsi="Arial" w:cs="Arial"/>
          <w:color w:val="000000"/>
        </w:rPr>
      </w:pPr>
    </w:p>
    <w:p>
      <w:pPr>
        <w:autoSpaceDE w:val="0"/>
        <w:autoSpaceDN w:val="0"/>
        <w:adjustRightInd w:val="0"/>
        <w:spacing w:after="0" w:line="240" w:lineRule="auto"/>
        <w:ind w:left="851" w:hanging="851"/>
        <w:jc w:val="both"/>
        <w:rPr>
          <w:rFonts w:ascii="Arial" w:hAnsi="Arial" w:cs="Arial"/>
          <w:color w:val="000000"/>
        </w:rPr>
      </w:pPr>
    </w:p>
    <w:p>
      <w:pPr>
        <w:autoSpaceDE w:val="0"/>
        <w:autoSpaceDN w:val="0"/>
        <w:adjustRightInd w:val="0"/>
        <w:spacing w:after="0" w:line="240" w:lineRule="auto"/>
        <w:ind w:left="851" w:hanging="851"/>
        <w:jc w:val="both"/>
        <w:rPr>
          <w:rFonts w:ascii="Arial" w:hAnsi="Arial" w:cs="Arial"/>
          <w:color w:val="000000"/>
        </w:rPr>
      </w:pPr>
    </w:p>
    <w:p>
      <w:pPr>
        <w:autoSpaceDE w:val="0"/>
        <w:autoSpaceDN w:val="0"/>
        <w:adjustRightInd w:val="0"/>
        <w:spacing w:after="0" w:line="240" w:lineRule="auto"/>
        <w:ind w:left="851" w:hanging="851"/>
        <w:jc w:val="both"/>
        <w:rPr>
          <w:rFonts w:ascii="Arial" w:hAnsi="Arial" w:cs="Arial"/>
          <w:color w:val="000000"/>
        </w:rPr>
      </w:pPr>
    </w:p>
    <w:p>
      <w:pPr>
        <w:autoSpaceDE w:val="0"/>
        <w:autoSpaceDN w:val="0"/>
        <w:adjustRightInd w:val="0"/>
        <w:spacing w:after="0" w:line="240" w:lineRule="auto"/>
        <w:ind w:left="851" w:hanging="851"/>
        <w:jc w:val="both"/>
        <w:rPr>
          <w:rFonts w:ascii="Arial" w:hAnsi="Arial" w:cs="Arial"/>
          <w:color w:val="000000"/>
        </w:rPr>
      </w:pPr>
    </w:p>
    <w:p>
      <w:pPr>
        <w:autoSpaceDE w:val="0"/>
        <w:autoSpaceDN w:val="0"/>
        <w:adjustRightInd w:val="0"/>
        <w:spacing w:after="0" w:line="240" w:lineRule="auto"/>
        <w:ind w:left="851" w:hanging="851"/>
        <w:jc w:val="both"/>
        <w:rPr>
          <w:rFonts w:ascii="Arial" w:hAnsi="Arial" w:cs="Arial"/>
          <w:color w:val="000000"/>
        </w:rPr>
        <w:sectPr>
          <w:type w:val="continuous"/>
          <w:pgSz w:w="11906" w:h="16838"/>
          <w:pgMar w:top="1701" w:right="1701" w:bottom="1701" w:left="1701" w:header="709" w:footer="587" w:gutter="0"/>
          <w:cols w:space="397" w:num="2"/>
          <w:docGrid w:linePitch="360" w:charSpace="0"/>
        </w:sectPr>
      </w:pPr>
    </w:p>
    <w:p>
      <w:pPr>
        <w:autoSpaceDE w:val="0"/>
        <w:autoSpaceDN w:val="0"/>
        <w:adjustRightInd w:val="0"/>
        <w:spacing w:before="120" w:after="0" w:line="240" w:lineRule="auto"/>
        <w:ind w:left="851" w:hanging="851"/>
        <w:jc w:val="both"/>
        <w:rPr>
          <w:rFonts w:ascii="Arial" w:hAnsi="Arial" w:cs="Arial"/>
          <w:color w:val="000000"/>
        </w:rPr>
      </w:pPr>
    </w:p>
    <w:sectPr>
      <w:footerReference r:id="rId5" w:type="default"/>
      <w:type w:val="continuous"/>
      <w:pgSz w:w="11906" w:h="16838"/>
      <w:pgMar w:top="1701" w:right="1701" w:bottom="1701" w:left="1701" w:header="708" w:footer="587" w:gutter="0"/>
      <w:cols w:space="397" w:num="2"/>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Calibri">
    <w:panose1 w:val="020F0502020204030204"/>
    <w:charset w:val="00"/>
    <w:family w:val="auto"/>
    <w:pitch w:val="default"/>
    <w:sig w:usb0="E00002FF" w:usb1="4000ACFF" w:usb2="00000001" w:usb3="00000000" w:csb0="2000019F" w:csb1="00000000"/>
  </w:font>
  <w:font w:name="Calibri Light">
    <w:panose1 w:val="020F0302020204030204"/>
    <w:charset w:val="00"/>
    <w:family w:val="auto"/>
    <w:pitch w:val="default"/>
    <w:sig w:usb0="A00002EF" w:usb1="4000207B" w:usb2="00000000" w:usb3="00000000" w:csb0="2000019F" w:csb1="00000000"/>
  </w:font>
  <w:font w:name="Tahoma">
    <w:panose1 w:val="020B0604030504040204"/>
    <w:charset w:val="00"/>
    <w:family w:val="auto"/>
    <w:pitch w:val="default"/>
    <w:sig w:usb0="E1002EFF" w:usb1="C000605B" w:usb2="00000029" w:usb3="00000000" w:csb0="200101FF" w:csb1="20280000"/>
  </w:font>
  <w:font w:name="Cambria">
    <w:panose1 w:val="02040503050406030204"/>
    <w:charset w:val="00"/>
    <w:family w:val="auto"/>
    <w:pitch w:val="default"/>
    <w:sig w:usb0="E00002FF" w:usb1="400004FF" w:usb2="00000000" w:usb3="00000000" w:csb0="2000019F" w:csb1="00000000"/>
  </w:font>
  <w:font w:name="Arial Unicode MS">
    <w:altName w:val="Arial"/>
    <w:panose1 w:val="020B0604020202020204"/>
    <w:charset w:val="80"/>
    <w:family w:val="auto"/>
    <w:pitch w:val="default"/>
    <w:sig w:usb0="F7FFAFFF" w:usb1="E9DFFFFF" w:usb2="0000003F" w:usb3="00000000" w:csb0="003F01FF" w:csb1="00000000"/>
  </w:font>
  <w:font w:name="AngsanaUPC">
    <w:panose1 w:val="02020603050405020304"/>
    <w:charset w:val="00"/>
    <w:family w:val="auto"/>
    <w:pitch w:val="default"/>
    <w:sig w:usb0="81000003" w:usb1="00000000" w:usb2="00000000" w:usb3="00000000" w:csb0="00010001" w:csb1="00000000"/>
  </w:font>
  <w:font w:name="TimesNewRomanPSMT">
    <w:altName w:val="Times New Roman"/>
    <w:panose1 w:val="00000000000000000000"/>
    <w:charset w:val="00"/>
    <w:family w:val="auto"/>
    <w:pitch w:val="default"/>
    <w:sig w:usb0="00000083" w:usb1="00000000" w:usb2="00000000" w:usb3="00000000" w:csb0="00000009" w:csb1="00000000"/>
  </w:font>
  <w:font w:name="Perpetua">
    <w:altName w:val="PMingLiU-ExtB"/>
    <w:panose1 w:val="02020502060401020303"/>
    <w:charset w:val="00"/>
    <w:family w:val="auto"/>
    <w:pitch w:val="default"/>
    <w:sig w:usb0="00000003" w:usb1="00000000" w:usb2="00000000" w:usb3="00000000" w:csb0="00000001" w:csb1="00000000"/>
  </w:font>
  <w:font w:name="PMingLiU-ExtB">
    <w:panose1 w:val="02020500000000000000"/>
    <w:charset w:val="00"/>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5"/>
      <w:pBdr>
        <w:top w:val="thinThickSmallGap" w:color="622423" w:sz="24" w:space="1"/>
      </w:pBdr>
      <w:rPr>
        <w:rFonts w:ascii="Times New Roman" w:hAnsi="Times New Roman" w:cs="Times New Roman"/>
        <w:sz w:val="24"/>
        <w:szCs w:val="24"/>
      </w:rPr>
    </w:pPr>
    <w:r>
      <w:rPr>
        <w:rFonts w:ascii="Cambria" w:hAnsi="Cambria"/>
        <w:i/>
        <w:sz w:val="20"/>
        <w:szCs w:val="20"/>
      </w:rPr>
      <w:t xml:space="preserve">Jurnal Sains Ekonomi dan Perbankan Syariah Vol 5, Nomor 1, Juli 2015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61</w:t>
    </w:r>
    <w:r>
      <w:rPr>
        <w:rFonts w:ascii="Times New Roman" w:hAnsi="Times New Roman" w:cs="Times New Roman"/>
        <w:sz w:val="24"/>
        <w:szCs w:val="24"/>
      </w:rPr>
      <w:fldChar w:fldCharType="end"/>
    </w:r>
  </w:p>
  <w:p>
    <w:pPr>
      <w:pStyle w:val="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5"/>
      <w:pBdr>
        <w:top w:val="thinThickSmallGap" w:color="622423" w:sz="24" w:space="1"/>
      </w:pBdr>
      <w:rPr>
        <w:rFonts w:ascii="Cambria" w:hAnsi="Cambria"/>
      </w:rPr>
    </w:pPr>
    <w:r>
      <w:rPr>
        <w:rFonts w:ascii="Cambria" w:hAnsi="Cambria"/>
        <w:i/>
        <w:sz w:val="20"/>
        <w:szCs w:val="20"/>
      </w:rPr>
      <w:t xml:space="preserve">Jurnal Sains Ekonomi dan Perbankan Syariah Vol 5, Nomor 1, Juli 2015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96</w:t>
    </w:r>
    <w:r>
      <w:rPr>
        <w:rFonts w:ascii="Times New Roman" w:hAnsi="Times New Roman" w:cs="Times New Roman"/>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620069693">
    <w:nsid w:val="60904D3D"/>
    <w:multiLevelType w:val="multilevel"/>
    <w:tmpl w:val="60904D3D"/>
    <w:lvl w:ilvl="0" w:tentative="1">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36608775">
    <w:nsid w:val="08247C07"/>
    <w:multiLevelType w:val="multilevel"/>
    <w:tmpl w:val="08247C07"/>
    <w:lvl w:ilvl="0" w:tentative="1">
      <w:start w:val="1"/>
      <w:numFmt w:val="decimal"/>
      <w:lvlText w:val="%1."/>
      <w:lvlJc w:val="left"/>
      <w:pPr>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rPr>
        <w:b w:val="0"/>
      </w:r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num w:numId="1">
    <w:abstractNumId w:val="1620069693"/>
  </w:num>
  <w:num w:numId="2">
    <w:abstractNumId w:val="1366087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1"/>
  <w:bordersDoNotSurroundFooter w:val="1"/>
  <w:documentProtection w:enforcement="0"/>
  <w:defaultTabStop w:val="720"/>
  <w:drawingGridHorizontalSpacing w:val="0"/>
  <w:displayHorizontalDrawingGridEvery w:val="2"/>
  <w:displayVerticalDrawingGridEvery w:val="1"/>
  <w:characterSpacingControl w:val="doNotCompress"/>
  <w:compat>
    <w:spaceForUL/>
    <w:doNotLeaveBackslashAlone/>
    <w:ulTrailSpace/>
    <w:useNormalStyleForList/>
    <w:doNotUseIndentAsNumberingTabStop/>
    <w:allowSpaceOfSameStyleInTable/>
    <w:doNotSuppressIndentation/>
    <w:doNotAutofitConstrainedTables/>
    <w:autofitToFirstFixedWidthCell/>
    <w:displayHangulFixedWidth/>
    <w:doNotVertAlignCellWithSp/>
    <w:doNotBreakConstrainedForcedTable/>
    <w:doNotVertAlignInTxbx/>
    <w:useAnsiKerningPairs/>
    <w:cachedColBalance/>
  </w:compat>
  <w:uiCompat97To2003/>
  <w:shapeDefaults>
    <o:shapedefaults fillcolor="#9CBEE0" fill="t" stroke="t">
      <v:fill type="gradient" on="t" color2="#BBD5F0" focus="0%" focussize="0f,0f" focusposition="0f,0f">
        <o:fill type="gradientUnscaled" v:ext="backwardCompatible"/>
      </v:fill>
      <v:stroke weight="1.25pt" color="#739CC3" color2="#FFFFFF" miterlimit="2"/>
    </o:shapedefaults>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lang w:val="en-US" w:eastAsia="zh-CN" w:bidi="ar-SA"/>
      </w:rPr>
    </w:rPrDefault>
  </w:docDefaults>
  <w:latentStyles w:count="156"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uiPriority="99" w:semiHidden="0" w:name="header"/>
    <w:lsdException w:uiPriority="99"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99" w:semiHidden="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0" w:name="annotation subject"/>
    <w:lsdException w:uiPriority="99" w:name="Balloon Text"/>
  </w:latentStyles>
  <w:style w:type="paragraph" w:default="1" w:styleId="1">
    <w:name w:val="Normal"/>
    <w:qFormat/>
    <w:uiPriority w:val="0"/>
    <w:pPr>
      <w:spacing w:after="200" w:line="276" w:lineRule="auto"/>
    </w:pPr>
    <w:rPr>
      <w:rFonts w:ascii="Calibri" w:hAnsi="Calibri" w:eastAsia="Calibri"/>
      <w:sz w:val="22"/>
      <w:szCs w:val="22"/>
      <w:lang w:val="en-US" w:eastAsia="en-US" w:bidi="ar-SA"/>
    </w:rPr>
  </w:style>
  <w:style w:type="paragraph" w:styleId="2">
    <w:name w:val="heading 1"/>
    <w:basedOn w:val="1"/>
    <w:next w:val="1"/>
    <w:link w:val="16"/>
    <w:qFormat/>
    <w:uiPriority w:val="9"/>
    <w:pPr>
      <w:keepNext/>
      <w:spacing w:before="240" w:after="60" w:line="259" w:lineRule="auto"/>
      <w:outlineLvl w:val="0"/>
    </w:pPr>
    <w:rPr>
      <w:rFonts w:ascii="Calibri Light" w:hAnsi="Calibri Light" w:eastAsia="Times New Roman" w:cs="Times New Roman"/>
      <w:b/>
      <w:bCs/>
      <w:kern w:val="32"/>
      <w:sz w:val="32"/>
      <w:szCs w:val="32"/>
    </w:rPr>
  </w:style>
  <w:style w:type="paragraph" w:styleId="3">
    <w:name w:val="heading 2"/>
    <w:basedOn w:val="1"/>
    <w:link w:val="17"/>
    <w:qFormat/>
    <w:uiPriority w:val="9"/>
    <w:pPr>
      <w:spacing w:before="100" w:beforeAutospacing="1" w:after="100" w:afterAutospacing="1" w:line="240" w:lineRule="auto"/>
      <w:outlineLvl w:val="1"/>
    </w:pPr>
    <w:rPr>
      <w:rFonts w:ascii="Times New Roman" w:hAnsi="Times New Roman" w:eastAsia="Times New Roman" w:cs="Times New Roman"/>
      <w:b/>
      <w:bCs/>
      <w:sz w:val="36"/>
      <w:szCs w:val="36"/>
    </w:rPr>
  </w:style>
  <w:style w:type="character" w:default="1" w:styleId="8">
    <w:name w:val="Default Paragraph Font"/>
    <w:semiHidden/>
    <w:unhideWhenUsed/>
    <w:uiPriority w:val="1"/>
  </w:style>
  <w:style w:type="paragraph" w:styleId="4">
    <w:name w:val="Balloon Text"/>
    <w:basedOn w:val="1"/>
    <w:link w:val="21"/>
    <w:semiHidden/>
    <w:unhideWhenUsed/>
    <w:uiPriority w:val="99"/>
    <w:pPr>
      <w:spacing w:after="0" w:line="240" w:lineRule="auto"/>
    </w:pPr>
    <w:rPr>
      <w:rFonts w:ascii="Tahoma" w:hAnsi="Tahoma" w:cs="Tahoma"/>
      <w:sz w:val="16"/>
      <w:szCs w:val="16"/>
    </w:rPr>
  </w:style>
  <w:style w:type="paragraph" w:styleId="5">
    <w:name w:val="footer"/>
    <w:basedOn w:val="1"/>
    <w:link w:val="19"/>
    <w:unhideWhenUsed/>
    <w:uiPriority w:val="99"/>
    <w:pPr>
      <w:tabs>
        <w:tab w:val="center" w:pos="4680"/>
        <w:tab w:val="right" w:pos="9360"/>
      </w:tabs>
      <w:spacing w:after="0" w:line="240" w:lineRule="auto"/>
    </w:pPr>
  </w:style>
  <w:style w:type="paragraph" w:styleId="6">
    <w:name w:val="header"/>
    <w:basedOn w:val="1"/>
    <w:link w:val="18"/>
    <w:unhideWhenUsed/>
    <w:uiPriority w:val="99"/>
    <w:pPr>
      <w:tabs>
        <w:tab w:val="center" w:pos="4680"/>
        <w:tab w:val="right" w:pos="9360"/>
      </w:tabs>
      <w:spacing w:after="0" w:line="240" w:lineRule="auto"/>
    </w:pPr>
  </w:style>
  <w:style w:type="paragraph" w:styleId="7">
    <w:name w:val="Normal (Web)"/>
    <w:basedOn w:val="1"/>
    <w:unhideWhenUsed/>
    <w:uiPriority w:val="99"/>
    <w:pPr>
      <w:spacing w:before="100" w:beforeAutospacing="1" w:after="100" w:afterAutospacing="1" w:line="240" w:lineRule="auto"/>
    </w:pPr>
    <w:rPr>
      <w:rFonts w:ascii="Times New Roman" w:hAnsi="Times New Roman" w:eastAsia="Times New Roman" w:cs="Times New Roman"/>
      <w:sz w:val="24"/>
      <w:szCs w:val="24"/>
    </w:rPr>
  </w:style>
  <w:style w:type="character" w:styleId="9">
    <w:name w:val="Emphasis"/>
    <w:basedOn w:val="8"/>
    <w:qFormat/>
    <w:uiPriority w:val="20"/>
    <w:rPr>
      <w:i/>
      <w:iCs/>
    </w:rPr>
  </w:style>
  <w:style w:type="character" w:styleId="10">
    <w:name w:val="Hyperlink"/>
    <w:basedOn w:val="8"/>
    <w:unhideWhenUsed/>
    <w:uiPriority w:val="99"/>
    <w:rPr>
      <w:color w:val="0000FF"/>
      <w:u w:val="single"/>
    </w:rPr>
  </w:style>
  <w:style w:type="character" w:styleId="11">
    <w:name w:val="Strong"/>
    <w:basedOn w:val="8"/>
    <w:qFormat/>
    <w:uiPriority w:val="22"/>
    <w:rPr>
      <w:b/>
      <w:bCs/>
    </w:rPr>
  </w:style>
  <w:style w:type="paragraph" w:customStyle="1" w:styleId="12">
    <w:name w:val="List Paragraph"/>
    <w:basedOn w:val="1"/>
    <w:link w:val="20"/>
    <w:qFormat/>
    <w:uiPriority w:val="34"/>
    <w:pPr>
      <w:ind w:left="720"/>
      <w:contextualSpacing/>
    </w:pPr>
  </w:style>
  <w:style w:type="paragraph" w:customStyle="1" w:styleId="13">
    <w:name w:val="ms-rtefontsize-1"/>
    <w:basedOn w:val="1"/>
    <w:uiPriority w:val="0"/>
    <w:pPr>
      <w:spacing w:before="100" w:beforeAutospacing="1" w:after="100" w:afterAutospacing="1" w:line="240" w:lineRule="auto"/>
    </w:pPr>
    <w:rPr>
      <w:rFonts w:ascii="Times New Roman" w:hAnsi="Times New Roman" w:eastAsia="Times New Roman" w:cs="Times New Roman"/>
      <w:sz w:val="24"/>
      <w:szCs w:val="24"/>
    </w:rPr>
  </w:style>
  <w:style w:type="paragraph" w:customStyle="1" w:styleId="14">
    <w:name w:val="Default"/>
    <w:uiPriority w:val="0"/>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15">
    <w:name w:val="Normal1"/>
    <w:basedOn w:val="1"/>
    <w:uiPriority w:val="0"/>
    <w:pPr>
      <w:spacing w:before="100" w:beforeAutospacing="1" w:after="100" w:afterAutospacing="1" w:line="240" w:lineRule="auto"/>
    </w:pPr>
    <w:rPr>
      <w:rFonts w:ascii="Times New Roman" w:hAnsi="Times New Roman" w:eastAsia="Times New Roman" w:cs="Times New Roman"/>
      <w:sz w:val="24"/>
      <w:szCs w:val="24"/>
    </w:rPr>
  </w:style>
  <w:style w:type="character" w:customStyle="1" w:styleId="16">
    <w:name w:val="Heading 1 Char"/>
    <w:basedOn w:val="8"/>
    <w:link w:val="2"/>
    <w:uiPriority w:val="9"/>
    <w:rPr>
      <w:rFonts w:ascii="Calibri Light" w:hAnsi="Calibri Light" w:eastAsia="Times New Roman" w:cs="Times New Roman"/>
      <w:b/>
      <w:bCs/>
      <w:kern w:val="32"/>
      <w:sz w:val="32"/>
      <w:szCs w:val="32"/>
    </w:rPr>
  </w:style>
  <w:style w:type="character" w:customStyle="1" w:styleId="17">
    <w:name w:val="Heading 2 Char"/>
    <w:basedOn w:val="8"/>
    <w:link w:val="3"/>
    <w:uiPriority w:val="9"/>
    <w:rPr>
      <w:rFonts w:ascii="Times New Roman" w:hAnsi="Times New Roman" w:eastAsia="Times New Roman" w:cs="Times New Roman"/>
      <w:b/>
      <w:bCs/>
      <w:sz w:val="36"/>
      <w:szCs w:val="36"/>
    </w:rPr>
  </w:style>
  <w:style w:type="character" w:customStyle="1" w:styleId="18">
    <w:name w:val="Header Char"/>
    <w:basedOn w:val="8"/>
    <w:link w:val="6"/>
    <w:uiPriority w:val="99"/>
    <w:rPr/>
  </w:style>
  <w:style w:type="character" w:customStyle="1" w:styleId="19">
    <w:name w:val="Footer Char"/>
    <w:basedOn w:val="8"/>
    <w:link w:val="5"/>
    <w:uiPriority w:val="99"/>
    <w:rPr/>
  </w:style>
  <w:style w:type="character" w:customStyle="1" w:styleId="20">
    <w:name w:val="List Paragraph Char"/>
    <w:link w:val="12"/>
    <w:uiPriority w:val="34"/>
  </w:style>
  <w:style w:type="character" w:customStyle="1" w:styleId="21">
    <w:name w:val="Balloon Text Char"/>
    <w:basedOn w:val="8"/>
    <w:link w:val="4"/>
    <w:semiHidden/>
    <w:uiPriority w:val="99"/>
    <w:rPr>
      <w:rFonts w:ascii="Tahoma" w:hAnsi="Tahoma" w:cs="Tahoma"/>
      <w:sz w:val="16"/>
      <w:szCs w:val="16"/>
    </w:rPr>
  </w:style>
  <w:style w:type="character" w:customStyle="1" w:styleId="22">
    <w:name w:val="apple-converted-space"/>
    <w:basedOn w:val="8"/>
    <w:uiPriority w:val="0"/>
    <w:rPr/>
  </w:style>
  <w:style w:type="character" w:customStyle="1" w:styleId="23">
    <w:name w:val="normal__char"/>
    <w:basedOn w:val="8"/>
    <w:uiPriority w:val="0"/>
    <w:rPr/>
  </w:style>
</w:styles>
</file>

<file path=word/_rels/document.xml.rels><?xml version="1.0" encoding="UTF-8" standalone="yes"?>
<Relationships xmlns="http://schemas.openxmlformats.org/package/2006/relationships"><Relationship Id="rId1" Type="http://schemas.openxmlformats.org/officeDocument/2006/relationships/fontTable" Target="fontTable.xml"/><Relationship Id="rId10" Type="http://schemas.openxmlformats.org/officeDocument/2006/relationships/image" Target="media/image4.png"/><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image" Target="media/image7.png"/><Relationship Id="rId14" Type="http://schemas.openxmlformats.org/officeDocument/2006/relationships/image" Target="media/image8.png"/><Relationship Id="rId15" Type="http://schemas.openxmlformats.org/officeDocument/2006/relationships/image" Target="media/image9.png"/><Relationship Id="rId16" Type="http://schemas.openxmlformats.org/officeDocument/2006/relationships/customXml" Target="../customXml/item1.xml"/><Relationship Id="rId17"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footer" Target="footer1.xml"/><Relationship Id="rId5" Type="http://schemas.openxmlformats.org/officeDocument/2006/relationships/footer" Target="footer2.xml"/><Relationship Id="rId6" Type="http://schemas.openxmlformats.org/officeDocument/2006/relationships/theme" Target="theme/theme1.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3.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96</Pages>
  <Words>41382</Words>
  <Characters>235878</Characters>
  <Lines>1965</Lines>
  <Paragraphs>553</Paragraphs>
  <TotalTime>0</TotalTime>
  <ScaleCrop>false</ScaleCrop>
  <LinksUpToDate>false</LinksUpToDate>
  <CharactersWithSpaces>0</CharactersWithSpaces>
  <Application>WPS Office_9.1.0.4746_{F1E327BC-269C-435d-A152-05C5408002CA}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2015-09-08T08:44:00Z</dcterms:created>
  <dc:creator>Windows7</dc:creator>
  <cp:lastModifiedBy>WIN8.1</cp:lastModifiedBy>
  <cp:lastPrinted>2015-09-11T06:06:00Z</cp:lastPrinted>
  <dcterms:modified xsi:type="dcterms:W3CDTF">2016-03-18T12:01:11Z</dcterms:modified>
  <dc:title>ANALISIS PENGARUH KUALITAS PELAYANAN, KUALITAS PRODUK, KEPERCAYAAN, DAN NILAI NASABAH  TERHADAP CUSTOMER RETENTION DENGAN KEPUASAN NASABAH SEBAGAI VARIABEL INTERVENING PADA </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1033-9.1.0.4746</vt:lpwstr>
  </property>
</Properties>
</file>