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Default ContentType="image/png" Extension="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jc w:val="center"/>
        <w:rPr>
          <w:rFonts w:ascii="Arial" w:hAnsi="Arial" w:cs="Arial"/>
          <w:b/>
          <w:color w:val="000000"/>
        </w:rPr>
      </w:pPr>
      <w:r>
        <w:rPr>
          <w:rFonts w:ascii="Arial" w:hAnsi="Arial" w:cs="Arial"/>
          <w:b/>
          <w:color w:val="000000"/>
        </w:rPr>
        <w:t>THE EFFECT OF ASSET QUALITY, PROFITABILITY, LIQUIDITY, AND EFFICIENCY TOWARD CAPITAL ADEQUACY SHARIA COMMERCIAL BANKS IN INDONESIA PERIOD 2010-2014</w:t>
      </w:r>
    </w:p>
    <w:p>
      <w:pPr>
        <w:spacing w:after="0" w:line="240" w:lineRule="auto"/>
        <w:jc w:val="center"/>
        <w:rPr>
          <w:rFonts w:ascii="Arial" w:hAnsi="Arial" w:cs="Arial"/>
          <w:color w:val="000000"/>
        </w:rPr>
      </w:pPr>
      <w:r>
        <w:rPr>
          <w:rFonts w:ascii="Arial" w:hAnsi="Arial" w:cs="Arial"/>
          <w:color w:val="000000"/>
        </w:rPr>
        <w:t>Uniq Wahyu Rinjani *)</w:t>
      </w:r>
    </w:p>
    <w:p>
      <w:pPr>
        <w:spacing w:after="0" w:line="240" w:lineRule="auto"/>
        <w:jc w:val="center"/>
        <w:rPr>
          <w:rFonts w:ascii="Arial" w:hAnsi="Arial" w:cs="Arial"/>
          <w:color w:val="000000"/>
        </w:rPr>
      </w:pPr>
      <w:r>
        <w:rPr>
          <w:rFonts w:ascii="Arial" w:hAnsi="Arial" w:cs="Arial"/>
          <w:color w:val="000000"/>
        </w:rPr>
        <w:t>M. Noor Ardiansah **)</w:t>
      </w:r>
    </w:p>
    <w:p>
      <w:pPr>
        <w:spacing w:after="0" w:line="240" w:lineRule="auto"/>
        <w:jc w:val="center"/>
        <w:rPr>
          <w:rFonts w:ascii="Arial" w:hAnsi="Arial" w:cs="Arial"/>
          <w:color w:val="000000"/>
        </w:rPr>
      </w:pPr>
    </w:p>
    <w:p>
      <w:pPr>
        <w:spacing w:line="240" w:lineRule="auto"/>
        <w:jc w:val="center"/>
        <w:rPr>
          <w:rFonts w:ascii="Arial" w:hAnsi="Arial" w:cs="Arial"/>
          <w:b/>
          <w:color w:val="000000"/>
        </w:rPr>
      </w:pPr>
      <w:r>
        <w:rPr>
          <w:rFonts w:ascii="Arial" w:hAnsi="Arial" w:cs="Arial"/>
          <w:b/>
          <w:color w:val="000000"/>
        </w:rPr>
        <w:t>Abstrak</w:t>
      </w:r>
    </w:p>
    <w:p>
      <w:pPr>
        <w:spacing w:after="0" w:line="240" w:lineRule="auto"/>
        <w:jc w:val="both"/>
        <w:rPr>
          <w:rFonts w:ascii="Arial" w:hAnsi="Arial" w:cs="Arial"/>
          <w:i/>
          <w:color w:val="000000"/>
        </w:rPr>
      </w:pPr>
      <w:r>
        <w:rPr>
          <w:rFonts w:ascii="Arial" w:hAnsi="Arial" w:cs="Arial"/>
          <w:i/>
          <w:color w:val="000000"/>
        </w:rPr>
        <w:t xml:space="preserve">Penelitian ini bertujuan untuk menganalisis signifikansi </w:t>
      </w:r>
      <w:r>
        <w:rPr>
          <w:rFonts w:ascii="Arial" w:hAnsi="Arial" w:cs="Arial"/>
          <w:bCs/>
          <w:i/>
          <w:color w:val="000000"/>
        </w:rPr>
        <w:t xml:space="preserve">pengaruh </w:t>
      </w:r>
      <w:r>
        <w:rPr>
          <w:rFonts w:ascii="Arial" w:hAnsi="Arial" w:cs="Arial"/>
          <w:i/>
          <w:color w:val="000000"/>
        </w:rPr>
        <w:t>kualitas aktiva, profitabilitas, likuiditas, dan efisiensi terhadap kecukupan modal Bank Umum Syariah di Indonesia Periode 2010-2014</w:t>
      </w:r>
      <w:r>
        <w:rPr>
          <w:rFonts w:ascii="Arial" w:hAnsi="Arial" w:cs="Arial"/>
          <w:b/>
          <w:i/>
          <w:color w:val="000000"/>
        </w:rPr>
        <w:t xml:space="preserve"> </w:t>
      </w:r>
      <w:r>
        <w:rPr>
          <w:rFonts w:ascii="Arial" w:hAnsi="Arial" w:cs="Arial"/>
          <w:i/>
          <w:color w:val="000000"/>
        </w:rPr>
        <w:t>baik secara simultan maupun parsial.</w:t>
      </w:r>
    </w:p>
    <w:p>
      <w:pPr>
        <w:spacing w:after="0" w:line="240" w:lineRule="auto"/>
        <w:jc w:val="both"/>
        <w:rPr>
          <w:rFonts w:ascii="Arial" w:hAnsi="Arial" w:cs="Arial"/>
          <w:i/>
          <w:color w:val="000000"/>
        </w:rPr>
      </w:pPr>
      <w:r>
        <w:rPr>
          <w:rFonts w:ascii="Arial" w:hAnsi="Arial" w:cs="Arial"/>
          <w:i/>
          <w:color w:val="000000"/>
        </w:rPr>
        <w:t>Populasi dalam penelitian ini adalah seluruh Bank Umum</w:t>
      </w:r>
      <w:r>
        <w:rPr>
          <w:rFonts w:ascii="Arial" w:hAnsi="Arial" w:cs="Arial"/>
          <w:bCs/>
          <w:i/>
          <w:iCs/>
          <w:color w:val="000000"/>
        </w:rPr>
        <w:t xml:space="preserve"> Syariah</w:t>
      </w:r>
      <w:r>
        <w:rPr>
          <w:rFonts w:ascii="Arial" w:hAnsi="Arial" w:cs="Arial"/>
          <w:bCs/>
          <w:i/>
          <w:color w:val="000000"/>
        </w:rPr>
        <w:t xml:space="preserve"> di Indonesia periode 2010-2014</w:t>
      </w:r>
      <w:r>
        <w:rPr>
          <w:rFonts w:ascii="Arial" w:hAnsi="Arial" w:cs="Arial"/>
          <w:i/>
          <w:color w:val="000000"/>
        </w:rPr>
        <w:t>. Dengan menggunakan metode purposive sampling diperoleh sampel sebanyak 5 (lima) Bank Umum</w:t>
      </w:r>
      <w:r>
        <w:rPr>
          <w:rFonts w:ascii="Arial" w:hAnsi="Arial" w:cs="Arial"/>
          <w:bCs/>
          <w:i/>
          <w:iCs/>
          <w:color w:val="000000"/>
        </w:rPr>
        <w:t xml:space="preserve"> Syariah</w:t>
      </w:r>
      <w:r>
        <w:rPr>
          <w:rFonts w:ascii="Arial" w:hAnsi="Arial" w:cs="Arial"/>
          <w:i/>
          <w:color w:val="000000"/>
        </w:rPr>
        <w:t>. Model analisis dalam penelitian ini menggunakan model analisis regresi data panel dan teknik analisis untuk uji hipotesis menggunakan uji R</w:t>
      </w:r>
      <w:r>
        <w:rPr>
          <w:rFonts w:ascii="Arial" w:hAnsi="Arial" w:cs="Arial"/>
          <w:i/>
          <w:color w:val="000000"/>
          <w:vertAlign w:val="superscript"/>
        </w:rPr>
        <w:t>2</w:t>
      </w:r>
      <w:r>
        <w:rPr>
          <w:rFonts w:ascii="Arial" w:hAnsi="Arial" w:cs="Arial"/>
          <w:i/>
          <w:color w:val="000000"/>
        </w:rPr>
        <w:t xml:space="preserve">, uji F, dan uji t.  </w:t>
      </w:r>
    </w:p>
    <w:p>
      <w:pPr>
        <w:spacing w:after="0" w:line="240" w:lineRule="auto"/>
        <w:jc w:val="both"/>
        <w:rPr>
          <w:rFonts w:ascii="Arial" w:hAnsi="Arial" w:cs="Arial"/>
          <w:i/>
          <w:color w:val="000000"/>
        </w:rPr>
      </w:pPr>
      <w:r>
        <w:rPr>
          <w:rFonts w:ascii="Arial" w:hAnsi="Arial" w:cs="Arial"/>
          <w:i/>
          <w:color w:val="000000"/>
        </w:rPr>
        <w:t>Hasil pengujian hipotesis dan pembahasan menunjukan bahwa kualitas aktiva, profitabilitas, likuiditas, dan efisiensi secara simultan berpengaruh signifikan terhadap kecukupan modal Bank Umum Syariah periode 2010-2014. Kualitas aktiva dan likuiditas secara parsial masing-masing berpengaruh signifikan terhadap kecukupan modal, sedangkan profitabilitas dan efisiensi secara parsial masing-masing berpengaruh tidak signifikan terhadap kecukupan modal Bank Umum Syariah periode 2010-2014.</w:t>
      </w:r>
    </w:p>
    <w:p>
      <w:pPr>
        <w:tabs>
          <w:tab w:val="left" w:pos="1418"/>
        </w:tabs>
        <w:spacing w:before="240" w:after="360" w:line="240" w:lineRule="auto"/>
        <w:ind w:left="1418" w:hanging="1418"/>
        <w:jc w:val="both"/>
        <w:rPr>
          <w:rFonts w:ascii="Arial" w:hAnsi="Arial" w:cs="Arial"/>
          <w:color w:val="000000"/>
        </w:rPr>
      </w:pPr>
      <w:r>
        <w:rPr>
          <w:rFonts w:ascii="Arial" w:hAnsi="Arial" w:cs="Arial"/>
          <w:b/>
          <w:bCs/>
          <w:i/>
          <w:color w:val="000000"/>
        </w:rPr>
        <w:t>Kata Kunci:</w:t>
      </w:r>
      <w:r>
        <w:rPr>
          <w:rFonts w:ascii="Arial" w:hAnsi="Arial" w:cs="Arial"/>
          <w:i/>
          <w:color w:val="000000"/>
        </w:rPr>
        <w:t xml:space="preserve"> </w:t>
      </w:r>
      <w:r>
        <w:rPr>
          <w:rFonts w:ascii="Times New Roman" w:hAnsi="Times New Roman"/>
          <w:i/>
          <w:color w:val="000000"/>
          <w:sz w:val="24"/>
          <w:szCs w:val="24"/>
        </w:rPr>
        <w:t>Kualitas Aktiva, Profitabilitas, Likuiditas, Efisiensi, dan Kecukupan Modal.</w:t>
      </w:r>
    </w:p>
    <w:p>
      <w:pPr>
        <w:spacing w:after="0" w:line="240" w:lineRule="auto"/>
        <w:ind w:left="284" w:hanging="284"/>
        <w:jc w:val="both"/>
        <w:rPr>
          <w:rFonts w:ascii="Arial" w:hAnsi="Arial" w:cs="Arial"/>
          <w:color w:val="000000"/>
        </w:rPr>
      </w:pPr>
      <w:r>
        <w:rPr>
          <w:rFonts w:ascii="Arial" w:hAnsi="Arial" w:cs="Arial"/>
          <w:color w:val="000000"/>
        </w:rPr>
        <w:t>*)</w:t>
      </w:r>
      <w:r>
        <w:rPr>
          <w:rFonts w:ascii="Arial" w:hAnsi="Arial" w:cs="Arial"/>
          <w:b/>
          <w:color w:val="000000"/>
        </w:rPr>
        <w:t xml:space="preserve"> </w:t>
      </w:r>
      <w:r>
        <w:rPr>
          <w:rFonts w:ascii="Arial" w:hAnsi="Arial" w:cs="Arial"/>
          <w:color w:val="000000"/>
        </w:rPr>
        <w:t>Member of Sharia Economic Tembalang Semarang, Final Semester Student of Sharia Banking Courses of 2011 in State Polytechnic of Semarang.</w:t>
      </w:r>
    </w:p>
    <w:p>
      <w:pPr>
        <w:spacing w:after="0" w:line="240" w:lineRule="auto"/>
        <w:ind w:left="567" w:hanging="567"/>
        <w:jc w:val="both"/>
        <w:rPr>
          <w:rFonts w:ascii="Arial" w:hAnsi="Arial" w:cs="Arial"/>
          <w:color w:val="000000"/>
        </w:rPr>
      </w:pPr>
      <w:r>
        <w:rPr>
          <w:rFonts w:ascii="Arial" w:hAnsi="Arial" w:cs="Arial"/>
          <w:color w:val="000000"/>
        </w:rPr>
        <w:t>**) Sharia Banking Lecturer in State Polytechnic of Semarang.</w:t>
      </w:r>
    </w:p>
    <w:p>
      <w:pPr>
        <w:tabs>
          <w:tab w:val="left" w:pos="1875"/>
        </w:tabs>
        <w:spacing w:line="240" w:lineRule="auto"/>
        <w:ind w:left="1276" w:hanging="1276"/>
        <w:jc w:val="both"/>
        <w:rPr>
          <w:rFonts w:ascii="Arial" w:hAnsi="Arial" w:cs="Arial"/>
          <w:b/>
          <w:color w:val="000000"/>
        </w:rPr>
      </w:pPr>
    </w:p>
    <w:p>
      <w:pPr>
        <w:tabs>
          <w:tab w:val="left" w:pos="1875"/>
        </w:tabs>
        <w:spacing w:line="240" w:lineRule="auto"/>
        <w:ind w:left="1276" w:hanging="1276"/>
        <w:jc w:val="both"/>
        <w:rPr>
          <w:rFonts w:ascii="Arial" w:hAnsi="Arial" w:cs="Arial"/>
          <w:b/>
          <w:color w:val="000000"/>
        </w:rPr>
        <w:sectPr>
          <w:footerReference r:id="rId4" w:type="default"/>
          <w:type w:val="continuous"/>
          <w:pgSz w:w="11906" w:h="16838"/>
          <w:pgMar w:top="1701" w:right="1701" w:bottom="1701" w:left="1701" w:header="708" w:footer="587" w:gutter="0"/>
          <w:pgNumType w:start="1"/>
          <w:cols w:space="397" w:num="1"/>
          <w:docGrid w:linePitch="360" w:charSpace="0"/>
        </w:sectPr>
      </w:pPr>
    </w:p>
    <w:p>
      <w:pPr>
        <w:tabs>
          <w:tab w:val="left" w:pos="1875"/>
        </w:tabs>
        <w:spacing w:after="0" w:line="240" w:lineRule="auto"/>
        <w:ind w:right="-483"/>
        <w:jc w:val="both"/>
        <w:rPr>
          <w:rFonts w:ascii="Arial" w:hAnsi="Arial" w:cs="Arial"/>
          <w:b/>
          <w:color w:val="000000"/>
        </w:rPr>
      </w:pPr>
      <w:r>
        <w:rPr>
          <w:rFonts w:ascii="Arial" w:hAnsi="Arial" w:cs="Arial"/>
          <w:b/>
          <w:color w:val="000000"/>
        </w:rPr>
        <w:t>INTRODUCTIONS</w:t>
      </w:r>
    </w:p>
    <w:p>
      <w:pPr>
        <w:spacing w:after="0" w:line="240" w:lineRule="auto"/>
        <w:jc w:val="both"/>
        <w:rPr>
          <w:rFonts w:ascii="Arial" w:hAnsi="Arial" w:cs="Arial"/>
          <w:b/>
          <w:color w:val="000000"/>
        </w:rPr>
      </w:pPr>
      <w:r>
        <w:rPr>
          <w:rFonts w:ascii="Arial" w:hAnsi="Arial" w:cs="Arial"/>
          <w:b/>
          <w:color w:val="000000"/>
        </w:rPr>
        <w:t>Background of the Study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According to De Bondt and Prast (2000), the provisions of the capital adequacy of banks can increase the confidence of shareholders and depositors, the provisions of the capital adequacy of banks can also increase capital so as to create a healthy competition in the global financial markets. Bank must regulate the liquidity of its assets in order to meet its obligations reserves without causing costly. Whalen and Thomson (1988) argue that capital adequacy is an important component in assessing the health of banks.</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CAR is a measure of capital that is expected to ensure banks that operate internationally and nationally will be able to operate properly. Commercial banks in Indonesia are required to maintain CAR of 8 % to be considered as healthy banks. If a bank has a CAR below 8 % or below the prevailing regulations, the controlling owner is required to raise capital or lose the right control over bank in other words, the bank has the potential to be liquidated (Warjiyo, 2004). Brinkmann and Horvit (1995) argue that the high capital owned by banks effectively protect depositors (deposit insurance system) against bank failures.</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sz w:val="22"/>
          <w:szCs w:val="22"/>
          <w:lang w:val="en-US" w:eastAsia="en-US" w:bidi="ar-SA"/>
        </w:rPr>
        <w:pict>
          <v:rect id="Rectangle 651" o:spid="_x0000_s1026" style="position:absolute;left:0;margin-left:186.4pt;margin-top:128.95pt;height:14.2pt;width:15.05pt;rotation:0f;z-index:251681792;" o:ole="f" fillcolor="#FFFFFF" filled="t" o:preferrelative="t" stroked="f" coordsize="21600,21600">
            <v:imagedata gain="65536f" blacklevel="0f" gamma="0"/>
            <o:lock v:ext="edit" position="f" selection="f" grouping="f" rotation="f" cropping="f" text="f" aspectratio="f"/>
          </v:rect>
        </w:pict>
      </w:r>
      <w:r>
        <w:rPr>
          <w:rFonts w:ascii="Arial" w:hAnsi="Arial" w:eastAsia="Times New Roman" w:cs="Arial"/>
          <w:color w:val="000000"/>
          <w:kern w:val="36"/>
        </w:rPr>
        <w:t>There are several considerations that underlie why Bank Indonesia set a ratio of 8 %, such as bank is able to cover losses arising from business risks of banking activity. Factors that influenced the level of the CAR are financial ratios such as liquidity ratio, asset quality, efficiency ratio, solvency ratios, profitability ratios, and sensitivity to market (Sudibyo, 2009).</w:t>
      </w:r>
    </w:p>
    <w:p>
      <w:pPr>
        <w:tabs>
          <w:tab w:val="left" w:pos="1875"/>
        </w:tabs>
        <w:spacing w:after="0" w:line="240" w:lineRule="auto"/>
        <w:ind w:firstLine="426"/>
        <w:jc w:val="both"/>
        <w:rPr>
          <w:rFonts w:ascii="Arial" w:hAnsi="Arial" w:cs="Arial"/>
          <w:b/>
          <w:color w:val="000000"/>
        </w:rPr>
      </w:pPr>
      <w:r>
        <w:rPr>
          <w:rFonts w:ascii="Arial" w:hAnsi="Arial" w:eastAsia="Times New Roman" w:cs="Arial"/>
          <w:color w:val="000000"/>
          <w:kern w:val="36"/>
        </w:rPr>
        <w:t>Capital is very important factor for the development and progress while maintaining public confidence in the bank, in addition to generate profits, the creation of assets also potentially lead to a risk. Therefore, capital should also be used to guard against the risk of losses on investments in assets, primarily from third-party funds (Muhammad, 2005).</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In order to be ready to face the risk of losses, the bank is obliged to maintain the quality of its productive assets. Assessment of asset quality reflects the ability of the bank's management in managing its productive assets. For banks that have a high degree of collectability and have sufficient </w:t>
      </w:r>
      <w:r>
        <w:rPr>
          <w:rFonts w:ascii="Arial" w:hAnsi="Arial" w:eastAsia="Times New Roman" w:cs="Arial"/>
          <w:iCs/>
          <w:color w:val="000000"/>
          <w:kern w:val="36"/>
        </w:rPr>
        <w:t>earning asset,</w:t>
      </w:r>
      <w:r>
        <w:rPr>
          <w:rFonts w:ascii="Arial" w:hAnsi="Arial" w:eastAsia="Times New Roman" w:cs="Arial"/>
          <w:color w:val="000000"/>
          <w:kern w:val="36"/>
        </w:rPr>
        <w:t> the capital requirement will be obtained from operating profit of the bank concerned and if the bank continuously gets loss then there is also the possibility of capital will be eroded little by little (Muljono, 1995).</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Profitability ratios show the level of ability of banks to earn profits from their business activities. Ali (2006) states that each time the bank losses, the bank's capital will be reduced in value and if the bank has a profit then the capital will increase.</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For intermediary function, bank will put their funds into productive assets, for example in the form of financing. Almost all the financing provided by sharia banks funds from third parties are usually measured using the ratio of FDR. This ratio also indicates the level of bank liquidity. The higher of the ratio of FDR will result in conditions that are less liquid banks (Muhammad, 2005). Less liquid conditions will be felt if all bank customers withdraw simultaneously at a time. Therefore in order to meet its liquidity provision, the bank will take on its capital so it will lead to a reduction in the capital adequacy of banks (Abdullah, 2003).</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Efficiency can also affect the CAR because the smaller bank's OEOI indicates more efficient in carrying out its business activities, as operating costs to be borne smaller than its operating revenue so that the operational activities of the banks make a profit, where it is able to increase the bank's capital and minimizing the risk level, so that the relatively low of OEOI can increase the CAR (Muljono, 2001).</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 xml:space="preserve">Problem Statement </w:t>
      </w:r>
    </w:p>
    <w:p>
      <w:pPr>
        <w:spacing w:after="0" w:line="240" w:lineRule="auto"/>
        <w:ind w:firstLine="426"/>
        <w:jc w:val="both"/>
        <w:rPr>
          <w:rFonts w:ascii="Arial" w:hAnsi="Arial" w:cs="Arial"/>
          <w:color w:val="000000"/>
        </w:rPr>
      </w:pPr>
      <w:r>
        <w:rPr>
          <w:rFonts w:ascii="Arial" w:hAnsi="Arial" w:cs="Arial"/>
          <w:color w:val="000000"/>
        </w:rPr>
        <w:t xml:space="preserve">Based on these descriptions, the formulation of research questions of this issue are as follow how does asset quality, profitability, liquidity, and efficiency simultaneously and each partially influence toward capital adequacy sharia commercial banks in Indonesia period 2010-2014. </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THEORITICAL FRAMEWORK</w:t>
      </w:r>
    </w:p>
    <w:p>
      <w:pPr>
        <w:spacing w:after="0" w:line="240" w:lineRule="auto"/>
        <w:jc w:val="both"/>
        <w:rPr>
          <w:rFonts w:ascii="Arial" w:hAnsi="Arial" w:cs="Arial"/>
          <w:b/>
          <w:color w:val="000000"/>
        </w:rPr>
      </w:pPr>
      <w:r>
        <w:rPr>
          <w:rFonts w:ascii="Arial" w:hAnsi="Arial" w:cs="Arial"/>
          <w:b/>
          <w:color w:val="000000"/>
        </w:rPr>
        <w:t>The Healthy of Sharia Banking</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As for the basic health assessment of sharia bank is an assessment to the risk profile, good corporate governance, profitability (earnings) and capital. While for the unit of sharia banks, the factor of health assessment of bank is only risk profile factor (POJK No. 8/POJK.03/2014).</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Assessment of the risk profile factors is the assessment about the inherent risk and quality of risk management in the bank's operations which are carried out for ten (10 ) risks such as credit risk, market risk, liquidity risk, operational risk, legal risk, strategic risk, compliance risk, reputation risk, the risk of yield, and investment risk (POJK No. 8/POJK.03/2014).</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Islamic Perspective of Capital Adequacy</w:t>
      </w:r>
    </w:p>
    <w:p>
      <w:pPr>
        <w:spacing w:after="0" w:line="240" w:lineRule="auto"/>
        <w:ind w:firstLine="426"/>
        <w:jc w:val="both"/>
        <w:rPr>
          <w:rFonts w:ascii="Arial" w:hAnsi="Arial" w:cs="Arial"/>
          <w:color w:val="000000"/>
        </w:rPr>
      </w:pPr>
      <w:r>
        <w:rPr>
          <w:rFonts w:ascii="Arial" w:hAnsi="Arial" w:cs="Arial"/>
          <w:color w:val="000000"/>
        </w:rPr>
        <w:t xml:space="preserve">Bank is an institution of trust. In connection with the issue of public confidence in the bank, then the bank's management must use all the operations to be able to maintain that public trust. One of the devices that positioned to support the belief is sufficient capital (Muhammad, 2005). </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In addition to the potential to generate profits, each creation of assets also potentially leads to a risk. Therefore capital must also be used to guard against the risk of losses on investments in assets, mainly stemming from the funds of third parties or the public. Increasing the assets as a producer profits must simultaneously balanced with consideration of the risks that may arise in order to protect the interests of the owners of the funds.</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Capital Adequacy</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Manullang (2002) stated that the capital ratio that is commonly used to measure the health of the banks is Capital Adequacy Ratio (CAR). Assessments aspect of capital is capital adequacy assessment of the risk exposure of banks to cover current and future risk exposure. According to Kasmir (2011), who assessed the aspect is capital that is assessed by the bank based on the Capital Adequacy Ratio (CAR) as determined by Bank Indonesia. </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CAR is an indicator of the ability of banks to offset a decline in assets as a result of bank losses caused by risky assets (Dendawijaya, 2009).</w:t>
      </w:r>
    </w:p>
    <w:p>
      <w:pPr>
        <w:spacing w:after="0" w:line="240" w:lineRule="auto"/>
        <w:ind w:firstLine="426"/>
        <w:jc w:val="both"/>
        <w:rPr>
          <w:rFonts w:ascii="Arial" w:hAnsi="Arial" w:cs="Arial"/>
          <w:color w:val="000000"/>
        </w:rPr>
      </w:pPr>
      <w:r>
        <w:rPr>
          <w:rFonts w:ascii="Arial" w:hAnsi="Arial" w:cs="Arial"/>
          <w:color w:val="000000"/>
        </w:rPr>
        <w:t>According to Ashton, et al. (1987) audit report lag is the length of time the end of the fiscal year of a company with the date listed in the audit report. Audit report lag shows the range of audit completion, with the overall objective of the audit of financial statements that express an opinion on the financial statements are presented fairly in all respects in accordance with generally accepted accounting principles. Audit report lag is expressed in units of days.</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Influential Factors Toward Capital Adequacy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iCs/>
          <w:color w:val="000000"/>
          <w:kern w:val="36"/>
        </w:rPr>
        <w:t>Capital Adequacy Ratio</w:t>
      </w:r>
      <w:r>
        <w:rPr>
          <w:rFonts w:ascii="Arial" w:hAnsi="Arial" w:eastAsia="Times New Roman" w:cs="Arial"/>
          <w:color w:val="000000"/>
          <w:kern w:val="36"/>
        </w:rPr>
        <w:t xml:space="preserve"> (CAR) reflects the bank's ability to cover the risk of loss of his activity in the bank's ability to fund its operations (Idroes, 2008). Meanwhile, according to Siamat (2005), the factors to be considered in assessing the capital adequacy are as </w:t>
      </w:r>
      <w:r>
        <w:rPr>
          <w:rFonts w:ascii="Arial" w:hAnsi="Arial" w:eastAsia="Times New Roman" w:cs="Arial"/>
          <w:color w:val="000000"/>
        </w:rPr>
        <w:t>the quality and integrity of management, liquidity, asset quality, retained earnings, imposition expenses, the structure of funding sources, the quality of the surgical procedure, minimum capital requirements, policies capital accumulation, and dividend distribution.</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Asset Quality</w:t>
      </w:r>
    </w:p>
    <w:p>
      <w:pPr>
        <w:spacing w:after="0" w:line="240" w:lineRule="auto"/>
        <w:ind w:firstLine="426"/>
        <w:jc w:val="both"/>
        <w:rPr>
          <w:rFonts w:ascii="Arial" w:hAnsi="Arial" w:cs="Arial"/>
          <w:color w:val="000000"/>
        </w:rPr>
      </w:pPr>
      <w:r>
        <w:rPr>
          <w:rFonts w:ascii="Arial" w:hAnsi="Arial" w:cs="Arial"/>
          <w:color w:val="000000"/>
        </w:rPr>
        <w:t>Assessment of asset quality is the rating of the condition of bank assets and the adequacy of credit risk management. According to Siamat (1993) credit risk (default risk) may occur as a result of the failure or inability of customers to repay the loan amount received from banks and interest in accordance with a predetermined period of time or scheduled. Every investment of bank funds need quality assessed by determining the level of collectability, whether substandard, doubtful, or loss.</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Profitability</w:t>
      </w:r>
    </w:p>
    <w:p>
      <w:pPr>
        <w:spacing w:after="0" w:line="240" w:lineRule="auto"/>
        <w:ind w:firstLine="426"/>
        <w:jc w:val="both"/>
        <w:rPr>
          <w:rFonts w:ascii="Arial" w:hAnsi="Arial" w:cs="Arial"/>
          <w:color w:val="000000"/>
        </w:rPr>
      </w:pPr>
      <w:r>
        <w:rPr>
          <w:rFonts w:ascii="Arial" w:hAnsi="Arial" w:cs="Arial"/>
          <w:color w:val="000000"/>
        </w:rPr>
        <w:t>According to Kasmir (2008), profitability ratios are used to measure the level of business efficiency and profitability achieved by the bank concerned. Profits gained from the activities that carried out a reflection of the performance of a company in business. In other words, the ratio of profitability while aiming to determine the bank's ability to generate profits for a certain period, also aims to measure the effectiveness of operational management in running the company. Maintaining the level of profitability is important for banks because of high profitability is the goal of every bank.</w:t>
      </w:r>
    </w:p>
    <w:p>
      <w:pPr>
        <w:spacing w:after="0" w:line="240" w:lineRule="auto"/>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Liquidity</w:t>
      </w:r>
    </w:p>
    <w:p>
      <w:pPr>
        <w:spacing w:after="0" w:line="240" w:lineRule="auto"/>
        <w:ind w:firstLine="426"/>
        <w:jc w:val="both"/>
        <w:rPr>
          <w:rFonts w:ascii="Arial" w:hAnsi="Arial" w:cs="Arial"/>
          <w:color w:val="000000"/>
        </w:rPr>
      </w:pPr>
      <w:r>
        <w:rPr>
          <w:rFonts w:ascii="Arial" w:hAnsi="Arial" w:cs="Arial"/>
          <w:color w:val="000000"/>
        </w:rPr>
        <w:t>Liquidity is generally defined as the possession of adequate financial resources for all the needs and obligations that are due. In other words, liquidity is the ability of banks to meet all obligations of its debts, can pay back all depositors and can meet the credit demand put forward without any suspension (Muljono, 1995).</w:t>
      </w:r>
    </w:p>
    <w:p>
      <w:pPr>
        <w:spacing w:after="0" w:line="240" w:lineRule="auto"/>
        <w:ind w:firstLine="426"/>
        <w:jc w:val="both"/>
        <w:rPr>
          <w:rFonts w:ascii="Arial" w:hAnsi="Arial" w:cs="Arial"/>
          <w:color w:val="000000"/>
        </w:rPr>
      </w:pPr>
      <w:r>
        <w:rPr>
          <w:rFonts w:ascii="Arial" w:hAnsi="Arial" w:cs="Arial"/>
          <w:color w:val="000000"/>
        </w:rPr>
        <w:t>FDR is widely used to measure the level of bank liquidity (Muljono, 1995). Financing to Deposit Ratio (FDR) states how far the bank's ability to repay withdrawals made ​​by public by relying on loans as a source of liquidity (Rival and Veithzal, 2006).</w:t>
      </w:r>
    </w:p>
    <w:p>
      <w:pPr>
        <w:spacing w:after="0" w:line="240" w:lineRule="auto"/>
        <w:ind w:firstLine="810"/>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Efficiency</w:t>
      </w:r>
    </w:p>
    <w:p>
      <w:pPr>
        <w:spacing w:after="0" w:line="240" w:lineRule="auto"/>
        <w:ind w:firstLine="426"/>
        <w:jc w:val="both"/>
        <w:rPr>
          <w:rFonts w:ascii="Arial" w:hAnsi="Arial" w:cs="Arial"/>
          <w:color w:val="000000"/>
        </w:rPr>
      </w:pPr>
      <w:r>
        <w:rPr>
          <w:rFonts w:ascii="Arial" w:hAnsi="Arial" w:cs="Arial"/>
          <w:color w:val="000000"/>
        </w:rPr>
        <w:t>Efficiency aspect of banking institution is also one important factor in order to create a healthy banking system and transparent (Muljono, 1995). Definition of bank efficiency refers to the level that can be achieved by the bank by comparing the revenue generated by the sacrifices incurred. Efficiency can also be interpreted as a comparison of the costs and results of a business. Measurement of banking efficiency can be proxies by using the ratio of operating expenses to operating income (OEOI), namely by comparing a bank's total operating expense to operating income in the same period (Siamat, 2001).</w:t>
      </w:r>
    </w:p>
    <w:p>
      <w:pPr>
        <w:spacing w:before="240" w:after="0" w:line="240" w:lineRule="auto"/>
        <w:jc w:val="both"/>
        <w:rPr>
          <w:rFonts w:ascii="Arial" w:hAnsi="Arial" w:cs="Arial"/>
          <w:b/>
          <w:color w:val="000000"/>
        </w:rPr>
      </w:pPr>
      <w:r>
        <w:rPr>
          <w:rFonts w:ascii="Arial" w:hAnsi="Arial" w:cs="Arial"/>
          <w:b/>
          <w:color w:val="000000"/>
        </w:rPr>
        <w:t>The Previous Study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Various studies have been conducted to look at the factors that affect the value of a bank's CAR.  Abusharba et al (2013) find that NPF has negative effect, while ROA and FDR have positive effect on capital adequacy as well as DEP and OEOI have no effect on capital adequacy. Margaretha and Setyaningrum (2011) resulted that the NPF and NIM have negative effect on capital adequacy.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Krishna (2008) resulted that the LDR and NPF have negative effect on CAR, while OEOI and NIM have no significant effect on CAR. Shitawati (2006) resulted that the ROA, ROE, NIM, and GWM have significant positive effect on CAR while the OEOI and LDR have significant negative effect on CAR. </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Fitrianto and Mawardi (2006) resulted in the finding that the ROA has significant positive effect and LDR has negative effect on CAR, while the NPA, NPL, ROE, and OEOI have no significant effect on CAR.  Manullang (2002) finds that the ROA and ROE have no significant effect.</w:t>
      </w:r>
    </w:p>
    <w:p>
      <w:pPr>
        <w:spacing w:after="0" w:line="240" w:lineRule="auto"/>
        <w:ind w:firstLine="720"/>
        <w:jc w:val="both"/>
        <w:outlineLvl w:val="0"/>
        <w:rPr>
          <w:rFonts w:ascii="Arial" w:hAnsi="Arial" w:eastAsia="Times New Roman" w:cs="Arial"/>
          <w:color w:val="000000"/>
          <w:kern w:val="36"/>
        </w:rPr>
      </w:pPr>
    </w:p>
    <w:p>
      <w:pPr>
        <w:tabs>
          <w:tab w:val="left" w:pos="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color w:val="000000"/>
        </w:rPr>
      </w:pPr>
      <w:r>
        <w:rPr>
          <w:rFonts w:ascii="Arial" w:hAnsi="Arial" w:cs="Arial"/>
          <w:b/>
          <w:color w:val="000000"/>
        </w:rPr>
        <w:t>RELATIONSHIP BETWEEN VARIABLES</w:t>
      </w:r>
    </w:p>
    <w:p>
      <w:pPr>
        <w:spacing w:after="0" w:line="240" w:lineRule="auto"/>
        <w:jc w:val="both"/>
        <w:rPr>
          <w:rFonts w:ascii="Arial" w:hAnsi="Arial" w:cs="Arial"/>
          <w:b/>
          <w:color w:val="000000"/>
        </w:rPr>
      </w:pPr>
      <w:r>
        <w:rPr>
          <w:rFonts w:ascii="Arial" w:hAnsi="Arial" w:cs="Arial"/>
          <w:b/>
          <w:color w:val="000000"/>
        </w:rPr>
        <w:t>Relationship between Asset Quality and Capital Adequacy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According to Muljono (1995), assessment of asset quality is the rating of the condition of bank assets and the adequacy of credit risk management. Survival of a bank depends on the readiness to face the risk of loss from the investment of funds. Therefore, in the context of readiness to face the risk of losses, the bank is obliged to maintain the quality of its productive assets. Assessment of asset quality management reflects the bank's ability to manage its productive assets. For banks that have a high degree of collectability and has </w:t>
      </w:r>
      <w:r>
        <w:rPr>
          <w:rFonts w:ascii="Arial" w:hAnsi="Arial" w:eastAsia="Times New Roman" w:cs="Arial"/>
          <w:iCs/>
          <w:color w:val="000000"/>
          <w:kern w:val="36"/>
        </w:rPr>
        <w:t>earning assets</w:t>
      </w:r>
      <w:r>
        <w:rPr>
          <w:rFonts w:ascii="Arial" w:hAnsi="Arial" w:eastAsia="Times New Roman" w:cs="Arial"/>
          <w:color w:val="000000"/>
          <w:kern w:val="36"/>
        </w:rPr>
        <w:t> are sufficient, the capital requirement will be obtained from the operating profit of the bank concerned and if the bank is continuously loss then there is also the possibility of capital will be eroded little by little.</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iCs/>
          <w:color w:val="000000"/>
          <w:kern w:val="36"/>
        </w:rPr>
        <w:t>Non Performing Financing </w:t>
      </w:r>
      <w:r>
        <w:rPr>
          <w:rFonts w:ascii="Arial" w:hAnsi="Arial" w:eastAsia="Times New Roman" w:cs="Arial"/>
          <w:color w:val="000000"/>
          <w:kern w:val="36"/>
        </w:rPr>
        <w:t>(NPF) is a variable risk of funding troubled, where high NPF indicates that the risk of failure is also high financing payment. NPF magnitude would lead to the elimination of reserves banks must establish financing (</w:t>
      </w:r>
      <w:r>
        <w:rPr>
          <w:rFonts w:ascii="Arial" w:hAnsi="Arial" w:eastAsia="Times New Roman" w:cs="Arial"/>
          <w:iCs/>
          <w:color w:val="000000"/>
          <w:kern w:val="36"/>
        </w:rPr>
        <w:t>the provision for loan losses</w:t>
      </w:r>
      <w:r>
        <w:rPr>
          <w:rFonts w:ascii="Arial" w:hAnsi="Arial" w:eastAsia="Times New Roman" w:cs="Arial"/>
          <w:color w:val="000000"/>
          <w:kern w:val="36"/>
        </w:rPr>
        <w:t>), establishment of reserves deletion of this financing would lead to a reduction of income that can be used as additional capital, so that capital adequacy will need to be reduced (Rose and Hudgins, 2009).</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The theory is supported by the results of research Abusharba et al (2013), Margaretha and Setyaningrum (2011) and Krishna (2008) which states that the NPF effect on the capital adequacy of banks.</w:t>
      </w:r>
    </w:p>
    <w:p>
      <w:pPr>
        <w:spacing w:after="0" w:line="240" w:lineRule="auto"/>
        <w:ind w:firstLine="63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Relationship between Profitability and Capital Adequacy</w:t>
      </w:r>
    </w:p>
    <w:p>
      <w:pPr>
        <w:spacing w:after="0" w:line="240" w:lineRule="auto"/>
        <w:ind w:firstLine="426"/>
        <w:jc w:val="both"/>
        <w:rPr>
          <w:rFonts w:ascii="Arial" w:hAnsi="Arial" w:cs="Arial"/>
          <w:color w:val="000000"/>
        </w:rPr>
      </w:pPr>
      <w:r>
        <w:rPr>
          <w:rFonts w:ascii="Arial" w:hAnsi="Arial" w:cs="Arial"/>
          <w:color w:val="000000"/>
        </w:rPr>
        <w:t>The profitability ratio analysis using ROA due to Bank Indonesia as a builder and banking supervisory grades prioritize profitability of a bank as measured by assets and the fund is largely derived from public savings fund (Dendawijaya, 2009).</w:t>
      </w:r>
    </w:p>
    <w:p>
      <w:pPr>
        <w:spacing w:after="0" w:line="240" w:lineRule="auto"/>
        <w:ind w:firstLine="426"/>
        <w:jc w:val="both"/>
        <w:rPr>
          <w:rFonts w:ascii="Arial" w:hAnsi="Arial" w:cs="Arial"/>
          <w:color w:val="000000"/>
        </w:rPr>
      </w:pPr>
      <w:r>
        <w:rPr>
          <w:rFonts w:ascii="Arial" w:hAnsi="Arial" w:cs="Arial"/>
          <w:color w:val="000000"/>
        </w:rPr>
        <w:t>ROA is used to measure the effectiveness of the company in generating profits by exploiting its assets. The greater the ROA of a bank, the greater the level of profit that bank achieved and the better the position of the bank in terms of asset utilization. Therefore CAR is an indicator of the health of the banks is increasing. This is similar to the one put forward by Ali (2006) that every time the bank losses, the bank's capital reduced in value and vice versa if the bank is profitable then capital will increase.</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Relationship between Liquidity and Capital Adequacy</w:t>
      </w:r>
    </w:p>
    <w:p>
      <w:pPr>
        <w:spacing w:after="0" w:line="240" w:lineRule="auto"/>
        <w:ind w:firstLine="426"/>
        <w:jc w:val="both"/>
        <w:rPr>
          <w:rFonts w:ascii="Arial" w:hAnsi="Arial" w:cs="Arial"/>
          <w:color w:val="000000"/>
        </w:rPr>
      </w:pPr>
      <w:r>
        <w:rPr>
          <w:rFonts w:ascii="Arial" w:hAnsi="Arial" w:cs="Arial"/>
          <w:color w:val="000000"/>
        </w:rPr>
        <w:t>If the growth in the number of loans greater than the growth in the amount of funds raised, the value of the bank FDR will be higher. The higher ratio indicates more and low capacity of the relevant bank liquidity. This is because the amount of funds required to finance the credit will be even greater. A bank that has the tools are very limited liquidity to meet its obligations, there will be a possibility of the provision of liquidity will be taken from capital (Abdullah, 2003).</w:t>
      </w:r>
    </w:p>
    <w:p>
      <w:pPr>
        <w:spacing w:after="0" w:line="240" w:lineRule="auto"/>
        <w:ind w:firstLine="426"/>
        <w:jc w:val="both"/>
        <w:rPr>
          <w:rFonts w:ascii="Arial" w:hAnsi="Arial" w:cs="Arial"/>
          <w:color w:val="000000"/>
        </w:rPr>
      </w:pPr>
      <w:r>
        <w:rPr>
          <w:rFonts w:ascii="Arial" w:hAnsi="Arial" w:cs="Arial"/>
          <w:color w:val="000000"/>
        </w:rPr>
        <w:t>In other words, the increase in the value of FDR caused by the growth in the number of loans is higher than the growth in the amount of funds raised will cause a decline in the value of a bank's CAR. CAR is a decline in the value of a bank's efforts in providing confidence and protect to their customers by increasing their funds through their own capital to finance the amount of credit granted. This is similar to what Siamat (2004) pointed out that "The factors to be considered in assessing the capital adequacy of banks, among others, Liquidity ... ".</w:t>
      </w:r>
    </w:p>
    <w:p>
      <w:pPr>
        <w:spacing w:after="0" w:line="240" w:lineRule="auto"/>
        <w:ind w:firstLine="426"/>
        <w:jc w:val="both"/>
        <w:rPr>
          <w:rFonts w:ascii="Arial" w:hAnsi="Arial" w:cs="Arial"/>
          <w:color w:val="000000"/>
        </w:rPr>
      </w:pPr>
      <w:r>
        <w:rPr>
          <w:rFonts w:ascii="Arial" w:hAnsi="Arial" w:cs="Arial"/>
          <w:color w:val="000000"/>
        </w:rPr>
        <w:t>Shitawati (2006), Fitrianto and Mawardi (2006), Krishna (2008) and Fitriyani (2011) showed that the liquidity effect on the capital adequacy of banks.</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Relationship between Efficiency and Capital Adequacy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OEOI ratio indicates the level of efficiency of the bank's operational performance. OEOI ratio is used to measure the ability of bank management in controlling operating expenses to operating income issued by the bank concerned so that the possibility of a bank in error (loss) will be smaller (Muhammad, 2002). The smaller the ratio of a bank OEOI it indicates an increasingly efficient bank in operation as operating costs to be borne smaller than its operating revenue. This resulted in the acquisition of profits through operational activities of the bank, which in turn can improve the bank's capital and minimizing the risk level is relatively low so that OEOI is able to increase the CAR (Muljono, 1995).</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The bigger the bank's OEOI shows a lack of efficiency in running its operations because of operational costs to be borne greater than operating income earned so there is the possibility of capital used to cover the operating costs that are not covered by operating income (Abdullah, 2003). So OEOI that relatively high will reduce the CAR. In other words, OEOI is negatively related to the performance of banks that are also predicted to negatively affect the CAR.</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Fitrianto and Mawardi (2006), Krishna (2008), Abusharba et al (2013) and Shitawati (2006) states that efficiency has an influence on capital adequacy.</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 xml:space="preserve">Theoretical Framework </w:t>
      </w:r>
    </w:p>
    <w:p>
      <w:pPr>
        <w:spacing w:after="0" w:line="240" w:lineRule="auto"/>
        <w:ind w:firstLine="426"/>
        <w:jc w:val="both"/>
        <w:rPr>
          <w:rFonts w:ascii="Arial" w:hAnsi="Arial" w:cs="Arial"/>
          <w:color w:val="000000"/>
        </w:rPr>
      </w:pPr>
      <w:r>
        <w:rPr>
          <w:rFonts w:ascii="Arial" w:hAnsi="Arial" w:cs="Arial"/>
          <w:color w:val="000000"/>
        </w:rPr>
        <w:t>The shape of the resulting theoretical framework can be seen in Figure 1.</w:t>
      </w:r>
    </w:p>
    <w:p>
      <w:pPr>
        <w:spacing w:after="0" w:line="240" w:lineRule="auto"/>
        <w:ind w:firstLine="41"/>
        <w:jc w:val="both"/>
        <w:rPr>
          <w:rFonts w:ascii="Arial" w:hAnsi="Arial" w:cs="Arial"/>
          <w:color w:val="000000"/>
        </w:rPr>
      </w:pPr>
      <w:r>
        <w:rPr>
          <w:rFonts w:ascii="Arial" w:hAnsi="Arial" w:eastAsia="Calibri" w:cs="Arial"/>
          <w:color w:val="000000"/>
          <w:sz w:val="22"/>
          <w:szCs w:val="22"/>
          <w:lang w:val="en-US" w:eastAsia="en-US" w:bidi="ar-SA"/>
        </w:rPr>
        <w:pict>
          <v:shape id="Picture 1" o:spid="_x0000_s1027" type="#_x0000_t75" style="height:135.65pt;width:202.6pt;rotation:0f;" o:ole="f" fillcolor="#FFFFFF" filled="f" o:preferrelative="t" stroked="f" coordorigin="0,0" coordsize="21600,21600">
            <v:fill on="f" color2="#FFFFFF" focus="0%"/>
            <v:imagedata gain="65536f" blacklevel="0f" gamma="0" o:title="" r:id="rId7"/>
            <o:lock v:ext="edit" position="f" selection="f" grouping="f" rotation="f" cropping="f" text="f" aspectratio="t"/>
            <w10:wrap type="none"/>
            <w10:anchorlock/>
          </v:shape>
        </w:pict>
      </w:r>
    </w:p>
    <w:p>
      <w:pPr>
        <w:spacing w:after="0" w:line="240" w:lineRule="auto"/>
        <w:ind w:hanging="426"/>
        <w:jc w:val="both"/>
        <w:rPr>
          <w:rFonts w:ascii="Arial" w:hAnsi="Arial" w:cs="Arial"/>
          <w:color w:val="000000"/>
        </w:rPr>
      </w:pPr>
    </w:p>
    <w:p>
      <w:pPr>
        <w:shd w:val="clear" w:color="auto" w:fill="FFFFFF"/>
        <w:spacing w:after="0" w:line="240" w:lineRule="auto"/>
        <w:rPr>
          <w:rFonts w:ascii="Arial" w:hAnsi="Arial" w:cs="Arial"/>
          <w:b/>
          <w:color w:val="000000"/>
        </w:rPr>
      </w:pPr>
    </w:p>
    <w:p>
      <w:pPr>
        <w:shd w:val="clear" w:color="auto" w:fill="FFFFFF"/>
        <w:spacing w:after="0" w:line="240" w:lineRule="auto"/>
        <w:rPr>
          <w:rFonts w:ascii="Arial" w:hAnsi="Arial" w:cs="Arial"/>
          <w:b/>
          <w:color w:val="000000"/>
        </w:rPr>
      </w:pPr>
    </w:p>
    <w:p>
      <w:pPr>
        <w:shd w:val="clear" w:color="auto" w:fill="FFFFFF"/>
        <w:spacing w:after="0" w:line="240" w:lineRule="auto"/>
        <w:rPr>
          <w:rFonts w:ascii="Arial" w:hAnsi="Arial" w:cs="Arial"/>
          <w:b/>
          <w:color w:val="000000"/>
        </w:rPr>
      </w:pPr>
    </w:p>
    <w:p>
      <w:pPr>
        <w:shd w:val="clear" w:color="auto" w:fill="FFFFFF"/>
        <w:spacing w:after="0" w:line="240" w:lineRule="auto"/>
        <w:rPr>
          <w:rFonts w:ascii="Arial" w:hAnsi="Arial" w:cs="Arial"/>
          <w:b/>
          <w:color w:val="000000"/>
        </w:rPr>
      </w:pPr>
      <w:r>
        <w:rPr>
          <w:rFonts w:ascii="Arial" w:hAnsi="Arial" w:cs="Arial"/>
          <w:b/>
          <w:color w:val="000000"/>
        </w:rPr>
        <w:t>METHOD OF RESEARCH</w:t>
      </w:r>
    </w:p>
    <w:p>
      <w:pPr>
        <w:shd w:val="clear" w:color="auto" w:fill="FFFFFF"/>
        <w:spacing w:after="0" w:line="240" w:lineRule="auto"/>
        <w:rPr>
          <w:rFonts w:ascii="Arial" w:hAnsi="Arial" w:cs="Arial"/>
          <w:b/>
          <w:color w:val="000000"/>
        </w:rPr>
      </w:pPr>
      <w:r>
        <w:rPr>
          <w:rFonts w:ascii="Arial" w:hAnsi="Arial" w:cs="Arial"/>
          <w:b/>
          <w:color w:val="000000"/>
        </w:rPr>
        <w:t>Types and Sources of Data</w:t>
      </w:r>
    </w:p>
    <w:p>
      <w:pPr>
        <w:spacing w:after="0" w:line="240" w:lineRule="auto"/>
        <w:ind w:firstLine="426"/>
        <w:jc w:val="both"/>
        <w:rPr>
          <w:rFonts w:ascii="Arial" w:hAnsi="Arial" w:cs="Arial"/>
          <w:color w:val="000000"/>
        </w:rPr>
      </w:pPr>
      <w:r>
        <w:rPr>
          <w:rFonts w:ascii="Arial" w:hAnsi="Arial" w:cs="Arial"/>
          <w:color w:val="000000"/>
        </w:rPr>
        <w:t xml:space="preserve">The data required in this research is secondary data consisting of 1 (one) dependent variable and 4 (four) independent variables. The dependent variable in this study is capital adequacy, while the independent variables in this study are asset quality, profitability, liquidity, and efficiency. This data was obtained from the </w:t>
      </w:r>
      <w:r>
        <w:rPr>
          <w:rFonts w:ascii="Arial" w:hAnsi="Arial" w:eastAsia="Times New Roman" w:cs="Arial"/>
          <w:iCs/>
          <w:color w:val="000000"/>
          <w:kern w:val="36"/>
        </w:rPr>
        <w:t>Indonesian Capital Market Directory</w:t>
      </w:r>
      <w:r>
        <w:rPr>
          <w:rFonts w:ascii="Arial" w:hAnsi="Arial" w:eastAsia="Times New Roman" w:cs="Arial"/>
          <w:color w:val="000000"/>
          <w:kern w:val="36"/>
        </w:rPr>
        <w:t> (ICMD) 2010-2014 and published financial statements sharia banks and Bank Indonesia period 2010-2014.</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Method of Collecting Data</w:t>
      </w:r>
    </w:p>
    <w:p>
      <w:pPr>
        <w:spacing w:after="0" w:line="240" w:lineRule="auto"/>
        <w:ind w:firstLine="426"/>
        <w:jc w:val="both"/>
        <w:rPr>
          <w:rFonts w:ascii="Arial" w:hAnsi="Arial" w:cs="Arial"/>
          <w:color w:val="000000"/>
        </w:rPr>
      </w:pPr>
      <w:r>
        <w:rPr>
          <w:rFonts w:ascii="Arial" w:hAnsi="Arial" w:cs="Arial"/>
          <w:color w:val="000000"/>
        </w:rPr>
        <w:t>The data in this study were collected by gathering empirical data by collecting data sources made by companies such as annual reports. Studies using various literature references such as articles, journals and other literature related to the issues to be addressed in this study, as well as explore the financial statements of the bank in the form of balance sheet, income statement and asset quality.</w:t>
      </w:r>
    </w:p>
    <w:p>
      <w:pPr>
        <w:spacing w:before="240" w:after="0" w:line="240" w:lineRule="auto"/>
        <w:jc w:val="both"/>
        <w:rPr>
          <w:rFonts w:ascii="Arial" w:hAnsi="Arial" w:cs="Arial"/>
          <w:b/>
          <w:color w:val="000000"/>
        </w:rPr>
      </w:pPr>
      <w:r>
        <w:rPr>
          <w:rFonts w:ascii="Arial" w:hAnsi="Arial" w:cs="Arial"/>
          <w:b/>
          <w:color w:val="000000"/>
        </w:rPr>
        <w:t>Population and Sample</w:t>
      </w:r>
    </w:p>
    <w:p>
      <w:pPr>
        <w:spacing w:after="0" w:line="240" w:lineRule="auto"/>
        <w:ind w:firstLine="426"/>
        <w:jc w:val="both"/>
        <w:rPr>
          <w:rFonts w:ascii="Arial" w:hAnsi="Arial" w:cs="Arial"/>
          <w:color w:val="000000"/>
        </w:rPr>
      </w:pPr>
      <w:r>
        <w:rPr>
          <w:rFonts w:ascii="Arial" w:hAnsi="Arial" w:cs="Arial"/>
          <w:color w:val="000000"/>
        </w:rPr>
        <w:t xml:space="preserve">Population is </w:t>
      </w:r>
      <w:r>
        <w:rPr>
          <w:rFonts w:ascii="Arial" w:hAnsi="Arial" w:eastAsia="Times New Roman" w:cs="Arial"/>
          <w:color w:val="000000"/>
          <w:kern w:val="36"/>
        </w:rPr>
        <w:t xml:space="preserve">a method where the selection of the sample on the characteristics of the population that has been known previously. </w:t>
      </w:r>
      <w:r>
        <w:rPr>
          <w:rFonts w:ascii="Arial" w:hAnsi="Arial" w:cs="Arial"/>
          <w:color w:val="000000"/>
        </w:rPr>
        <w:t>The population in this study is 12 (twelve) registered Sharia Banks in Bank Indonesia period 2010-2014. The sample in this study were selected by purposive sampling method.</w:t>
      </w:r>
    </w:p>
    <w:p>
      <w:pPr>
        <w:shd w:val="clear" w:color="auto" w:fill="FFFFFF"/>
        <w:spacing w:after="120" w:line="240" w:lineRule="auto"/>
        <w:rPr>
          <w:rFonts w:ascii="Arial" w:hAnsi="Arial" w:cs="Arial"/>
          <w:b/>
          <w:color w:val="000000"/>
        </w:rPr>
      </w:pPr>
    </w:p>
    <w:p>
      <w:pPr>
        <w:shd w:val="clear" w:color="auto" w:fill="FFFFFF"/>
        <w:spacing w:after="0" w:line="240" w:lineRule="auto"/>
        <w:rPr>
          <w:rFonts w:ascii="Arial" w:hAnsi="Arial" w:cs="Arial"/>
          <w:b/>
          <w:color w:val="000000"/>
        </w:rPr>
      </w:pPr>
      <w:r>
        <w:rPr>
          <w:rFonts w:ascii="Arial" w:hAnsi="Arial" w:cs="Arial"/>
          <w:b/>
          <w:color w:val="000000"/>
        </w:rPr>
        <w:t>Method of Data Analysis</w:t>
      </w:r>
    </w:p>
    <w:p>
      <w:pPr>
        <w:shd w:val="clear" w:color="auto" w:fill="FFFFFF"/>
        <w:spacing w:after="0" w:line="240" w:lineRule="auto"/>
        <w:rPr>
          <w:rFonts w:ascii="Arial" w:hAnsi="Arial" w:cs="Arial"/>
          <w:b/>
          <w:color w:val="000000"/>
        </w:rPr>
      </w:pPr>
      <w:r>
        <w:rPr>
          <w:rFonts w:ascii="Arial" w:hAnsi="Arial" w:cs="Arial"/>
          <w:b/>
          <w:color w:val="000000"/>
        </w:rPr>
        <w:t>Statistic Descriptive of Research Variable</w:t>
      </w:r>
    </w:p>
    <w:p>
      <w:pPr>
        <w:spacing w:after="0" w:line="240" w:lineRule="auto"/>
        <w:ind w:firstLine="426"/>
        <w:jc w:val="both"/>
        <w:rPr>
          <w:rFonts w:ascii="Arial" w:hAnsi="Arial" w:cs="Arial"/>
          <w:color w:val="000000"/>
        </w:rPr>
      </w:pPr>
      <w:r>
        <w:rPr>
          <w:rFonts w:ascii="Arial" w:hAnsi="Arial" w:cs="Arial"/>
          <w:color w:val="000000"/>
        </w:rPr>
        <w:t xml:space="preserve">According to Ghozali (2013), descriptive statistic analysis was descriptive technique that provides information on the data held and does not intend to test the hypothesis. </w:t>
      </w:r>
    </w:p>
    <w:p>
      <w:pPr>
        <w:shd w:val="clear" w:color="auto" w:fill="FFFFFF"/>
        <w:spacing w:before="240" w:after="0" w:line="240" w:lineRule="auto"/>
        <w:rPr>
          <w:rFonts w:ascii="Arial" w:hAnsi="Arial" w:cs="Arial"/>
          <w:b/>
          <w:color w:val="000000"/>
        </w:rPr>
      </w:pPr>
      <w:r>
        <w:rPr>
          <w:rFonts w:ascii="Arial" w:hAnsi="Arial" w:cs="Arial"/>
          <w:b/>
          <w:color w:val="000000"/>
        </w:rPr>
        <w:t>Advisability Test of Data</w:t>
      </w:r>
    </w:p>
    <w:p>
      <w:pPr>
        <w:shd w:val="clear" w:color="auto" w:fill="FFFFFF"/>
        <w:spacing w:after="0" w:line="240" w:lineRule="auto"/>
        <w:rPr>
          <w:rFonts w:ascii="Arial" w:hAnsi="Arial" w:cs="Arial"/>
          <w:b/>
          <w:color w:val="000000"/>
        </w:rPr>
      </w:pPr>
      <w:r>
        <w:rPr>
          <w:rFonts w:ascii="Arial" w:hAnsi="Arial" w:cs="Arial"/>
          <w:b/>
          <w:color w:val="000000"/>
        </w:rPr>
        <w:t>Outliers Test</w:t>
      </w:r>
    </w:p>
    <w:p>
      <w:pPr>
        <w:spacing w:after="0" w:line="240" w:lineRule="auto"/>
        <w:ind w:firstLine="426"/>
        <w:jc w:val="both"/>
        <w:rPr>
          <w:rFonts w:ascii="Arial" w:hAnsi="Arial" w:eastAsia="Times New Roman" w:cs="Arial"/>
          <w:color w:val="000000"/>
          <w:kern w:val="36"/>
        </w:rPr>
      </w:pPr>
      <w:r>
        <w:rPr>
          <w:rFonts w:ascii="Arial" w:hAnsi="Arial" w:cs="Arial"/>
          <w:color w:val="000000"/>
        </w:rPr>
        <w:t xml:space="preserve">Outliers test was conducted to eliminate extreme values on the results of observation. Mahalanobis distance </w:t>
      </w:r>
      <w:r>
        <w:rPr>
          <w:rFonts w:ascii="Arial" w:hAnsi="Arial" w:eastAsia="Times New Roman" w:cs="Arial"/>
          <w:color w:val="000000"/>
          <w:kern w:val="36"/>
        </w:rPr>
        <w:t xml:space="preserve">provides a common measure of multidimensional centrality and also has statistical properties that allow for significance testing, it is suggested that a very conservative level, such as 0.05, be used as the threshold value for designation as an outlier (Hair et al, 1998). </w:t>
      </w:r>
    </w:p>
    <w:p>
      <w:pPr>
        <w:spacing w:after="0" w:line="240" w:lineRule="auto"/>
        <w:ind w:firstLine="720"/>
        <w:jc w:val="both"/>
        <w:rPr>
          <w:rFonts w:ascii="Arial" w:hAnsi="Arial" w:cs="Arial"/>
          <w:color w:val="000000"/>
        </w:rPr>
      </w:pPr>
    </w:p>
    <w:p>
      <w:pPr>
        <w:spacing w:after="0" w:line="240" w:lineRule="auto"/>
        <w:jc w:val="both"/>
        <w:rPr>
          <w:rFonts w:ascii="Arial" w:hAnsi="Arial" w:cs="Arial"/>
          <w:color w:val="000000"/>
        </w:rPr>
      </w:pPr>
      <w:r>
        <w:rPr>
          <w:rFonts w:ascii="Arial" w:hAnsi="Arial" w:cs="Arial"/>
          <w:b/>
          <w:color w:val="000000"/>
        </w:rPr>
        <w:t>Normality Test</w:t>
      </w:r>
    </w:p>
    <w:p>
      <w:pPr>
        <w:spacing w:after="0" w:line="240" w:lineRule="auto"/>
        <w:ind w:firstLine="426"/>
        <w:jc w:val="both"/>
        <w:rPr>
          <w:rFonts w:ascii="Arial" w:hAnsi="Arial" w:cs="Arial"/>
          <w:color w:val="000000"/>
        </w:rPr>
      </w:pPr>
      <w:r>
        <w:rPr>
          <w:rFonts w:ascii="Arial" w:hAnsi="Arial" w:cs="Arial"/>
          <w:color w:val="000000"/>
        </w:rPr>
        <w:t xml:space="preserve">According to Ghozali (2013), normality test aims to test whether the regression model, the confounding variable or residual has a normal distribution. </w:t>
      </w:r>
    </w:p>
    <w:p>
      <w:pPr>
        <w:spacing w:after="0" w:line="240" w:lineRule="auto"/>
        <w:ind w:firstLine="426"/>
        <w:jc w:val="both"/>
        <w:rPr>
          <w:rFonts w:ascii="Arial" w:hAnsi="Arial" w:cs="Arial"/>
          <w:color w:val="000000"/>
        </w:rPr>
      </w:pPr>
      <w:r>
        <w:rPr>
          <w:rFonts w:ascii="Arial" w:hAnsi="Arial" w:cs="Arial"/>
          <w:color w:val="000000"/>
        </w:rPr>
        <w:t xml:space="preserve">To detect the normality of the data, conducted through the analysis of the Kolmogorov-Smirnov test statistic (K-S). </w:t>
      </w:r>
    </w:p>
    <w:p>
      <w:pPr>
        <w:spacing w:after="0" w:line="240" w:lineRule="auto"/>
        <w:ind w:firstLine="426"/>
        <w:jc w:val="both"/>
        <w:rPr>
          <w:rFonts w:ascii="Arial" w:hAnsi="Arial" w:cs="Arial"/>
          <w:color w:val="000000"/>
        </w:rPr>
      </w:pPr>
      <w:r>
        <w:rPr>
          <w:rFonts w:ascii="Arial" w:hAnsi="Arial" w:cs="Arial"/>
          <w:color w:val="000000"/>
        </w:rPr>
        <w:t>Basis for decision making in the K-S test are follows: (1) If the probability Z value of K-S test was significant statistically, means that the data are not normally distributed. (2) If the probability Z value of K-S test was not significant statistically, means that the data are normally distributed.</w:t>
      </w:r>
    </w:p>
    <w:p>
      <w:pPr>
        <w:spacing w:before="240" w:after="0" w:line="240" w:lineRule="auto"/>
        <w:jc w:val="both"/>
        <w:rPr>
          <w:rFonts w:ascii="Arial" w:hAnsi="Arial" w:cs="Arial"/>
          <w:b/>
          <w:color w:val="000000"/>
        </w:rPr>
      </w:pPr>
      <w:r>
        <w:rPr>
          <w:rFonts w:ascii="Arial" w:hAnsi="Arial" w:cs="Arial"/>
          <w:b/>
          <w:color w:val="000000"/>
        </w:rPr>
        <w:t>Classical Assumption Test</w:t>
      </w:r>
    </w:p>
    <w:p>
      <w:pPr>
        <w:spacing w:after="0" w:line="240" w:lineRule="auto"/>
        <w:jc w:val="both"/>
        <w:rPr>
          <w:rFonts w:ascii="Arial" w:hAnsi="Arial" w:cs="Arial"/>
          <w:b/>
          <w:color w:val="000000"/>
        </w:rPr>
      </w:pPr>
      <w:r>
        <w:rPr>
          <w:rFonts w:ascii="Arial" w:hAnsi="Arial" w:cs="Arial"/>
          <w:b/>
          <w:color w:val="000000"/>
        </w:rPr>
        <w:t>Linearity Test</w:t>
      </w:r>
    </w:p>
    <w:p>
      <w:pPr>
        <w:spacing w:after="0" w:line="240" w:lineRule="auto"/>
        <w:ind w:firstLine="426"/>
        <w:jc w:val="both"/>
        <w:rPr>
          <w:rFonts w:ascii="Arial" w:hAnsi="Arial" w:eastAsia="Times New Roman" w:cs="Arial"/>
          <w:color w:val="000000"/>
          <w:kern w:val="36"/>
        </w:rPr>
      </w:pPr>
      <w:r>
        <w:rPr>
          <w:rFonts w:ascii="Arial" w:hAnsi="Arial" w:cs="Arial"/>
          <w:color w:val="000000"/>
        </w:rPr>
        <w:t>An implicit assumption of all multivariate techniques is based on correlation measures of association, including multiple regressions. It is always prudent to examine all relationships to identify any departures from linearity that may impact the correlation (Hair et al., 1998).</w:t>
      </w:r>
    </w:p>
    <w:p>
      <w:pPr>
        <w:spacing w:after="0" w:line="240" w:lineRule="auto"/>
        <w:ind w:firstLine="426"/>
        <w:jc w:val="both"/>
        <w:rPr>
          <w:rFonts w:ascii="Arial" w:hAnsi="Arial" w:cs="Arial"/>
          <w:color w:val="000000"/>
        </w:rPr>
      </w:pPr>
      <w:r>
        <w:rPr>
          <w:rFonts w:ascii="Arial" w:hAnsi="Arial" w:cs="Arial"/>
          <w:color w:val="000000"/>
        </w:rPr>
        <w:t>Estimates of the Lagrange multiplier test aims to get the value c</w:t>
      </w:r>
      <w:r>
        <w:rPr>
          <w:rFonts w:ascii="Arial" w:hAnsi="Arial" w:cs="Arial"/>
          <w:color w:val="000000"/>
          <w:vertAlign w:val="superscript"/>
        </w:rPr>
        <w:t>2</w:t>
      </w:r>
      <w:r>
        <w:rPr>
          <w:rFonts w:ascii="Arial" w:hAnsi="Arial" w:cs="Arial"/>
          <w:color w:val="000000"/>
        </w:rPr>
        <w:t xml:space="preserve"> count or (n x R</w:t>
      </w:r>
      <w:r>
        <w:rPr>
          <w:rFonts w:ascii="Arial" w:hAnsi="Arial" w:cs="Arial"/>
          <w:color w:val="000000"/>
          <w:vertAlign w:val="superscript"/>
        </w:rPr>
        <w:t>2</w:t>
      </w:r>
      <w:r>
        <w:rPr>
          <w:rFonts w:ascii="Arial" w:hAnsi="Arial" w:cs="Arial"/>
          <w:color w:val="000000"/>
        </w:rPr>
        <w:t>), if c</w:t>
      </w:r>
      <w:r>
        <w:rPr>
          <w:rFonts w:ascii="Arial" w:hAnsi="Arial" w:cs="Arial"/>
          <w:color w:val="000000"/>
          <w:vertAlign w:val="superscript"/>
        </w:rPr>
        <w:t>2</w:t>
      </w:r>
      <w:r>
        <w:rPr>
          <w:rFonts w:ascii="Arial" w:hAnsi="Arial" w:cs="Arial"/>
          <w:color w:val="000000"/>
        </w:rPr>
        <w:t xml:space="preserve"> count &gt; c</w:t>
      </w:r>
      <w:r>
        <w:rPr>
          <w:rFonts w:ascii="Arial" w:hAnsi="Arial" w:cs="Arial"/>
          <w:color w:val="000000"/>
          <w:vertAlign w:val="superscript"/>
        </w:rPr>
        <w:t>2</w:t>
      </w:r>
      <w:r>
        <w:rPr>
          <w:rFonts w:ascii="Arial" w:hAnsi="Arial" w:cs="Arial"/>
          <w:color w:val="000000"/>
        </w:rPr>
        <w:t xml:space="preserve"> table, then the hypothesis that claim linear models is rejected (Ghozali, 2013).</w:t>
      </w:r>
    </w:p>
    <w:p>
      <w:pPr>
        <w:spacing w:before="240" w:after="0" w:line="240" w:lineRule="auto"/>
        <w:jc w:val="both"/>
        <w:rPr>
          <w:rFonts w:ascii="Arial" w:hAnsi="Arial" w:cs="Arial"/>
          <w:color w:val="000000"/>
        </w:rPr>
      </w:pPr>
      <w:r>
        <w:rPr>
          <w:rFonts w:ascii="Arial" w:hAnsi="Arial" w:cs="Arial"/>
          <w:b/>
          <w:color w:val="000000"/>
        </w:rPr>
        <w:t>Multicollinearity Test</w:t>
      </w:r>
    </w:p>
    <w:p>
      <w:pPr>
        <w:spacing w:after="0" w:line="240" w:lineRule="auto"/>
        <w:ind w:firstLine="426"/>
        <w:jc w:val="both"/>
        <w:rPr>
          <w:rFonts w:ascii="Arial" w:hAnsi="Arial" w:cs="Arial"/>
          <w:color w:val="000000"/>
        </w:rPr>
      </w:pPr>
      <w:r>
        <w:rPr>
          <w:rFonts w:ascii="Arial" w:hAnsi="Arial" w:cs="Arial"/>
          <w:color w:val="000000"/>
        </w:rPr>
        <w:t xml:space="preserve">According to Ghozali (2013), multicollinearity test aims to test whether the regression model found a correlation between the independent variables. </w:t>
      </w:r>
    </w:p>
    <w:p>
      <w:pPr>
        <w:spacing w:after="0" w:line="240" w:lineRule="auto"/>
        <w:ind w:firstLine="709"/>
        <w:jc w:val="both"/>
        <w:rPr>
          <w:rFonts w:ascii="Arial" w:hAnsi="Arial" w:cs="Arial"/>
          <w:color w:val="000000"/>
        </w:rPr>
      </w:pP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Heteroscedasticity Test</w:t>
      </w:r>
    </w:p>
    <w:p>
      <w:pPr>
        <w:spacing w:after="0" w:line="240" w:lineRule="auto"/>
        <w:ind w:firstLine="426"/>
        <w:jc w:val="both"/>
        <w:rPr>
          <w:rFonts w:ascii="Arial" w:hAnsi="Arial" w:cs="Arial"/>
          <w:color w:val="000000"/>
        </w:rPr>
      </w:pPr>
      <w:r>
        <w:rPr>
          <w:rFonts w:ascii="Arial" w:hAnsi="Arial" w:cs="Arial"/>
          <w:color w:val="000000"/>
        </w:rPr>
        <w:t xml:space="preserve">According to Ghozali (2013), heteroscedasticity test aims to test whether the linear regression model occurred dissimilarity variance of the residuals of the observations to other observations. </w:t>
      </w:r>
    </w:p>
    <w:p>
      <w:pPr>
        <w:spacing w:after="0" w:line="240" w:lineRule="auto"/>
        <w:ind w:firstLine="709"/>
        <w:jc w:val="both"/>
        <w:rPr>
          <w:rFonts w:ascii="Arial" w:hAnsi="Arial" w:cs="Arial"/>
          <w:color w:val="000000"/>
        </w:rPr>
      </w:pPr>
    </w:p>
    <w:p>
      <w:pPr>
        <w:spacing w:after="0" w:line="240" w:lineRule="auto"/>
        <w:jc w:val="both"/>
        <w:rPr>
          <w:rFonts w:ascii="Arial" w:hAnsi="Arial" w:cs="Arial"/>
          <w:color w:val="000000"/>
        </w:rPr>
      </w:pPr>
      <w:r>
        <w:rPr>
          <w:rFonts w:ascii="Arial" w:hAnsi="Arial" w:cs="Arial"/>
          <w:b/>
          <w:color w:val="000000"/>
        </w:rPr>
        <w:t>Autocorrelation Test</w:t>
      </w:r>
    </w:p>
    <w:p>
      <w:pPr>
        <w:spacing w:after="0" w:line="240" w:lineRule="auto"/>
        <w:ind w:firstLine="426"/>
        <w:jc w:val="both"/>
        <w:rPr>
          <w:rFonts w:ascii="Arial" w:hAnsi="Arial" w:cs="Arial"/>
          <w:color w:val="000000"/>
        </w:rPr>
      </w:pPr>
      <w:r>
        <w:rPr>
          <w:rFonts w:ascii="Arial" w:hAnsi="Arial" w:cs="Arial"/>
          <w:color w:val="000000"/>
        </w:rPr>
        <w:t>According to Ghozali (2013), autocorrelation test aims to test whether the linear regression model there is correlation between the error in t period with error in t-1 period (previously).</w:t>
      </w:r>
    </w:p>
    <w:p>
      <w:pPr>
        <w:spacing w:after="0" w:line="240" w:lineRule="auto"/>
        <w:ind w:firstLine="426"/>
        <w:jc w:val="both"/>
        <w:rPr>
          <w:rFonts w:ascii="Arial" w:hAnsi="Arial" w:cs="Arial"/>
          <w:color w:val="000000"/>
        </w:rPr>
      </w:pPr>
      <w:r>
        <w:rPr>
          <w:rFonts w:ascii="Arial" w:hAnsi="Arial" w:cs="Arial"/>
          <w:color w:val="000000"/>
        </w:rPr>
        <w:t xml:space="preserve">Autocorrelation arises because successive observations over time are related to each other. </w:t>
      </w:r>
    </w:p>
    <w:p>
      <w:pPr>
        <w:spacing w:after="0" w:line="240" w:lineRule="auto"/>
        <w:jc w:val="both"/>
        <w:rPr>
          <w:rFonts w:ascii="Arial" w:hAnsi="Arial" w:cs="Arial"/>
          <w:b/>
          <w:color w:val="000000"/>
        </w:rPr>
      </w:pPr>
    </w:p>
    <w:p>
      <w:pPr>
        <w:spacing w:after="0" w:line="240" w:lineRule="auto"/>
        <w:jc w:val="both"/>
        <w:rPr>
          <w:rFonts w:ascii="Arial" w:hAnsi="Arial" w:cs="Arial"/>
          <w:color w:val="000000"/>
        </w:rPr>
      </w:pPr>
      <w:r>
        <w:rPr>
          <w:rFonts w:ascii="Arial" w:hAnsi="Arial" w:cs="Arial"/>
          <w:b/>
          <w:color w:val="000000"/>
        </w:rPr>
        <w:t>Model and Analysis Techniques</w:t>
      </w:r>
    </w:p>
    <w:p>
      <w:pPr>
        <w:pStyle w:val="12"/>
        <w:spacing w:after="0" w:line="240" w:lineRule="auto"/>
        <w:ind w:left="0" w:hanging="49"/>
        <w:jc w:val="both"/>
        <w:rPr>
          <w:rFonts w:ascii="Arial" w:hAnsi="Arial" w:cs="Arial"/>
          <w:b/>
          <w:color w:val="000000"/>
        </w:rPr>
      </w:pPr>
      <w:r>
        <w:rPr>
          <w:rFonts w:ascii="Arial" w:hAnsi="Arial" w:cs="Arial"/>
          <w:b/>
          <w:color w:val="000000"/>
        </w:rPr>
        <w:t xml:space="preserve"> Analysis Model</w:t>
      </w:r>
    </w:p>
    <w:p>
      <w:pPr>
        <w:spacing w:after="0" w:line="240" w:lineRule="auto"/>
        <w:ind w:firstLine="426"/>
        <w:jc w:val="both"/>
        <w:rPr>
          <w:rFonts w:ascii="Arial" w:hAnsi="Arial" w:cs="Arial"/>
          <w:color w:val="000000"/>
        </w:rPr>
      </w:pPr>
      <w:r>
        <w:rPr>
          <w:rFonts w:ascii="Arial" w:hAnsi="Arial" w:cs="Arial"/>
          <w:color w:val="000000"/>
        </w:rPr>
        <w:t>The model used in analyzing the data is Multiple Linear Regression Analysis. This test is useful to determine the effect of independent variables on the dependent variable. The regression model used is as follows:</w:t>
      </w:r>
    </w:p>
    <w:p>
      <w:pPr>
        <w:spacing w:after="0" w:line="240" w:lineRule="auto"/>
        <w:ind w:left="426" w:hanging="426"/>
        <w:jc w:val="both"/>
        <w:rPr>
          <w:rFonts w:ascii="Arial" w:hAnsi="Arial" w:cs="Arial"/>
          <w:b/>
          <w:color w:val="000000"/>
        </w:rPr>
      </w:pPr>
      <w:r>
        <w:rPr>
          <w:rFonts w:ascii="Arial" w:hAnsi="Arial" w:cs="Arial"/>
          <w:b/>
          <w:color w:val="000000"/>
        </w:rPr>
        <w:t>CA = α + β</w:t>
      </w:r>
      <w:r>
        <w:rPr>
          <w:rFonts w:ascii="Arial" w:hAnsi="Arial" w:cs="Arial"/>
          <w:b/>
          <w:color w:val="000000"/>
          <w:vertAlign w:val="subscript"/>
        </w:rPr>
        <w:t>1</w:t>
      </w:r>
      <w:r>
        <w:rPr>
          <w:rFonts w:ascii="Arial" w:hAnsi="Arial" w:cs="Arial"/>
          <w:b/>
          <w:color w:val="000000"/>
        </w:rPr>
        <w:t xml:space="preserve"> (AQ) + β</w:t>
      </w:r>
      <w:r>
        <w:rPr>
          <w:rFonts w:ascii="Arial" w:hAnsi="Arial" w:cs="Arial"/>
          <w:b/>
          <w:color w:val="000000"/>
          <w:vertAlign w:val="subscript"/>
        </w:rPr>
        <w:t xml:space="preserve"> 2</w:t>
      </w:r>
      <w:r>
        <w:rPr>
          <w:rFonts w:ascii="Arial" w:hAnsi="Arial" w:cs="Arial"/>
          <w:b/>
          <w:color w:val="000000"/>
        </w:rPr>
        <w:t xml:space="preserve"> (PROF) + β</w:t>
      </w:r>
      <w:r>
        <w:rPr>
          <w:rFonts w:ascii="Arial" w:hAnsi="Arial" w:cs="Arial"/>
          <w:b/>
          <w:color w:val="000000"/>
          <w:vertAlign w:val="subscript"/>
        </w:rPr>
        <w:t xml:space="preserve"> 3</w:t>
      </w:r>
      <w:r>
        <w:rPr>
          <w:rFonts w:ascii="Arial" w:hAnsi="Arial" w:cs="Arial"/>
          <w:b/>
          <w:color w:val="000000"/>
        </w:rPr>
        <w:t xml:space="preserve"> (LIQ) + β</w:t>
      </w:r>
      <w:r>
        <w:rPr>
          <w:rFonts w:ascii="Arial" w:hAnsi="Arial" w:cs="Arial"/>
          <w:b/>
          <w:color w:val="000000"/>
          <w:vertAlign w:val="subscript"/>
        </w:rPr>
        <w:t xml:space="preserve"> 4</w:t>
      </w:r>
      <w:r>
        <w:rPr>
          <w:rFonts w:ascii="Arial" w:hAnsi="Arial" w:cs="Arial"/>
          <w:b/>
          <w:color w:val="000000"/>
        </w:rPr>
        <w:t xml:space="preserve"> (EFC) + є</w:t>
      </w:r>
    </w:p>
    <w:p>
      <w:pPr>
        <w:spacing w:before="240" w:line="240" w:lineRule="auto"/>
        <w:rPr>
          <w:rFonts w:ascii="Arial" w:hAnsi="Arial" w:cs="Arial"/>
          <w:color w:val="000000"/>
        </w:rPr>
      </w:pPr>
      <w:r>
        <w:rPr>
          <w:rFonts w:ascii="Arial" w:hAnsi="Arial" w:cs="Arial"/>
          <w:color w:val="000000"/>
        </w:rPr>
        <w:t>Where:</w:t>
      </w:r>
    </w:p>
    <w:p>
      <w:pPr>
        <w:spacing w:line="240" w:lineRule="auto"/>
        <w:rPr>
          <w:rFonts w:ascii="Arial" w:hAnsi="Arial" w:cs="Arial"/>
          <w:color w:val="000000"/>
        </w:rPr>
      </w:pPr>
      <w:r>
        <w:rPr>
          <w:rFonts w:ascii="Arial" w:hAnsi="Arial" w:cs="Arial"/>
          <w:color w:val="000000"/>
        </w:rPr>
        <w:t>CA</w:t>
      </w:r>
      <w:r>
        <w:rPr>
          <w:rFonts w:ascii="Arial" w:hAnsi="Arial" w:cs="Arial"/>
          <w:color w:val="000000"/>
        </w:rPr>
        <w:tab/>
      </w:r>
      <w:r>
        <w:rPr>
          <w:rFonts w:ascii="Arial" w:hAnsi="Arial" w:cs="Arial"/>
          <w:color w:val="000000"/>
        </w:rPr>
        <w:tab/>
      </w:r>
      <w:r>
        <w:rPr>
          <w:rFonts w:ascii="Arial" w:hAnsi="Arial" w:cs="Arial"/>
          <w:color w:val="000000"/>
        </w:rPr>
        <w:t>= Capital Adequacy</w:t>
      </w:r>
    </w:p>
    <w:p>
      <w:pPr>
        <w:spacing w:line="240" w:lineRule="auto"/>
        <w:rPr>
          <w:rFonts w:ascii="Arial" w:hAnsi="Arial" w:cs="Arial"/>
          <w:color w:val="000000"/>
        </w:rPr>
      </w:pPr>
      <w:r>
        <w:rPr>
          <w:rFonts w:ascii="Arial" w:hAnsi="Arial" w:cs="Arial"/>
          <w:color w:val="000000"/>
        </w:rPr>
        <w:t>AQ</w:t>
      </w:r>
      <w:r>
        <w:rPr>
          <w:rFonts w:ascii="Arial" w:hAnsi="Arial" w:cs="Arial"/>
          <w:color w:val="000000"/>
          <w:vertAlign w:val="subscript"/>
        </w:rPr>
        <w:tab/>
      </w:r>
      <w:r>
        <w:rPr>
          <w:rFonts w:ascii="Arial" w:hAnsi="Arial" w:cs="Arial"/>
          <w:color w:val="000000"/>
          <w:vertAlign w:val="subscript"/>
        </w:rPr>
        <w:tab/>
      </w:r>
      <w:r>
        <w:rPr>
          <w:rFonts w:ascii="Arial" w:hAnsi="Arial" w:cs="Arial"/>
          <w:color w:val="000000"/>
        </w:rPr>
        <w:t>= Asset Quality.</w:t>
      </w:r>
    </w:p>
    <w:p>
      <w:pPr>
        <w:spacing w:line="240" w:lineRule="auto"/>
        <w:rPr>
          <w:rFonts w:ascii="Arial" w:hAnsi="Arial" w:cs="Arial"/>
          <w:color w:val="000000"/>
        </w:rPr>
      </w:pPr>
      <w:r>
        <w:rPr>
          <w:rFonts w:ascii="Arial" w:hAnsi="Arial" w:cs="Arial"/>
          <w:color w:val="000000"/>
        </w:rPr>
        <w:t>PROF</w:t>
      </w:r>
      <w:r>
        <w:rPr>
          <w:rFonts w:ascii="Arial" w:hAnsi="Arial" w:cs="Arial"/>
          <w:color w:val="000000"/>
          <w:vertAlign w:val="subscript"/>
        </w:rPr>
        <w:tab/>
      </w:r>
      <w:r>
        <w:rPr>
          <w:rFonts w:ascii="Arial" w:hAnsi="Arial" w:cs="Arial"/>
          <w:color w:val="000000"/>
          <w:vertAlign w:val="subscript"/>
        </w:rPr>
        <w:tab/>
      </w:r>
      <w:r>
        <w:rPr>
          <w:rFonts w:ascii="Arial" w:hAnsi="Arial" w:cs="Arial"/>
          <w:color w:val="000000"/>
        </w:rPr>
        <w:t>= Profitability.</w:t>
      </w:r>
    </w:p>
    <w:p>
      <w:pPr>
        <w:spacing w:line="240" w:lineRule="auto"/>
        <w:rPr>
          <w:rFonts w:ascii="Arial" w:hAnsi="Arial" w:cs="Arial"/>
          <w:color w:val="000000"/>
        </w:rPr>
      </w:pPr>
      <w:r>
        <w:rPr>
          <w:rFonts w:ascii="Arial" w:hAnsi="Arial" w:cs="Arial"/>
          <w:color w:val="000000"/>
        </w:rPr>
        <w:t>LIQ</w:t>
      </w:r>
      <w:r>
        <w:rPr>
          <w:rFonts w:ascii="Arial" w:hAnsi="Arial" w:cs="Arial"/>
          <w:color w:val="000000"/>
          <w:vertAlign w:val="subscript"/>
        </w:rPr>
        <w:tab/>
      </w:r>
      <w:r>
        <w:rPr>
          <w:rFonts w:ascii="Arial" w:hAnsi="Arial" w:cs="Arial"/>
          <w:color w:val="000000"/>
          <w:vertAlign w:val="subscript"/>
        </w:rPr>
        <w:tab/>
      </w:r>
      <w:r>
        <w:rPr>
          <w:rFonts w:ascii="Arial" w:hAnsi="Arial" w:cs="Arial"/>
          <w:color w:val="000000"/>
        </w:rPr>
        <w:t>= Liquidity.</w:t>
      </w:r>
    </w:p>
    <w:p>
      <w:pPr>
        <w:spacing w:line="240" w:lineRule="auto"/>
        <w:rPr>
          <w:rFonts w:ascii="Arial" w:hAnsi="Arial" w:cs="Arial"/>
          <w:color w:val="000000"/>
        </w:rPr>
      </w:pPr>
      <w:r>
        <w:rPr>
          <w:rFonts w:ascii="Arial" w:hAnsi="Arial" w:cs="Arial"/>
          <w:color w:val="000000"/>
        </w:rPr>
        <w:t>EFC</w:t>
      </w:r>
      <w:r>
        <w:rPr>
          <w:rFonts w:ascii="Arial" w:hAnsi="Arial" w:cs="Arial"/>
          <w:color w:val="000000"/>
          <w:vertAlign w:val="subscript"/>
        </w:rPr>
        <w:tab/>
      </w:r>
      <w:r>
        <w:rPr>
          <w:rFonts w:ascii="Arial" w:hAnsi="Arial" w:cs="Arial"/>
          <w:color w:val="000000"/>
          <w:vertAlign w:val="subscript"/>
        </w:rPr>
        <w:tab/>
      </w:r>
      <w:r>
        <w:rPr>
          <w:rFonts w:ascii="Arial" w:hAnsi="Arial" w:cs="Arial"/>
          <w:color w:val="000000"/>
        </w:rPr>
        <w:t>= Efficiency.</w:t>
      </w:r>
    </w:p>
    <w:p>
      <w:pPr>
        <w:spacing w:line="240" w:lineRule="auto"/>
        <w:ind w:left="426" w:hanging="426"/>
        <w:rPr>
          <w:rFonts w:ascii="Arial" w:hAnsi="Arial" w:cs="Arial"/>
          <w:color w:val="000000"/>
        </w:rPr>
      </w:pPr>
      <w:r>
        <w:rPr>
          <w:rFonts w:ascii="Arial" w:hAnsi="Arial" w:cs="Arial"/>
          <w:color w:val="000000"/>
        </w:rPr>
        <w:t>β</w:t>
      </w:r>
      <w:r>
        <w:rPr>
          <w:rFonts w:ascii="Arial" w:hAnsi="Arial" w:cs="Arial"/>
          <w:color w:val="000000"/>
          <w:vertAlign w:val="subscript"/>
        </w:rPr>
        <w:t>1</w:t>
      </w:r>
      <w:r>
        <w:rPr>
          <w:rFonts w:ascii="Arial" w:hAnsi="Arial" w:cs="Arial"/>
          <w:color w:val="000000"/>
        </w:rPr>
        <w:t>, β</w:t>
      </w:r>
      <w:r>
        <w:rPr>
          <w:rFonts w:ascii="Arial" w:hAnsi="Arial" w:cs="Arial"/>
          <w:color w:val="000000"/>
          <w:vertAlign w:val="subscript"/>
        </w:rPr>
        <w:t>2</w:t>
      </w:r>
      <w:r>
        <w:rPr>
          <w:rFonts w:ascii="Arial" w:hAnsi="Arial" w:cs="Arial"/>
          <w:color w:val="000000"/>
        </w:rPr>
        <w:t>, β</w:t>
      </w:r>
      <w:r>
        <w:rPr>
          <w:rFonts w:ascii="Arial" w:hAnsi="Arial" w:cs="Arial"/>
          <w:color w:val="000000"/>
          <w:vertAlign w:val="subscript"/>
        </w:rPr>
        <w:t>3</w:t>
      </w:r>
      <w:r>
        <w:rPr>
          <w:rFonts w:ascii="Arial" w:hAnsi="Arial" w:cs="Arial"/>
          <w:color w:val="000000"/>
        </w:rPr>
        <w:t>, β</w:t>
      </w:r>
      <w:r>
        <w:rPr>
          <w:rFonts w:ascii="Arial" w:hAnsi="Arial" w:cs="Arial"/>
          <w:color w:val="000000"/>
          <w:vertAlign w:val="subscript"/>
        </w:rPr>
        <w:t>4</w:t>
      </w:r>
      <w:r>
        <w:rPr>
          <w:rFonts w:ascii="Arial" w:hAnsi="Arial" w:cs="Arial"/>
          <w:color w:val="000000"/>
          <w:vertAlign w:val="subscript"/>
        </w:rPr>
        <w:tab/>
      </w:r>
      <w:r>
        <w:rPr>
          <w:rFonts w:ascii="Arial" w:hAnsi="Arial" w:cs="Arial"/>
          <w:color w:val="000000"/>
        </w:rPr>
        <w:t xml:space="preserve">= variable regression   </w:t>
      </w:r>
    </w:p>
    <w:p>
      <w:pPr>
        <w:spacing w:line="240" w:lineRule="auto"/>
        <w:ind w:left="1560"/>
        <w:rPr>
          <w:rFonts w:ascii="Arial" w:hAnsi="Arial" w:cs="Arial"/>
          <w:color w:val="000000"/>
        </w:rPr>
      </w:pPr>
      <w:r>
        <w:rPr>
          <w:rFonts w:ascii="Arial" w:hAnsi="Arial" w:cs="Arial"/>
          <w:color w:val="000000"/>
        </w:rPr>
        <w:t>coefficient of  X</w:t>
      </w:r>
      <w:r>
        <w:rPr>
          <w:rFonts w:ascii="Arial" w:hAnsi="Arial" w:cs="Arial"/>
          <w:color w:val="000000"/>
          <w:vertAlign w:val="subscript"/>
        </w:rPr>
        <w:t>1</w:t>
      </w:r>
      <w:r>
        <w:rPr>
          <w:rFonts w:ascii="Arial" w:hAnsi="Arial" w:cs="Arial"/>
          <w:color w:val="000000"/>
        </w:rPr>
        <w:t>, X</w:t>
      </w:r>
      <w:r>
        <w:rPr>
          <w:rFonts w:ascii="Arial" w:hAnsi="Arial" w:cs="Arial"/>
          <w:color w:val="000000"/>
          <w:vertAlign w:val="subscript"/>
        </w:rPr>
        <w:t>2</w:t>
      </w:r>
      <w:r>
        <w:rPr>
          <w:rFonts w:ascii="Arial" w:hAnsi="Arial" w:cs="Arial"/>
          <w:color w:val="000000"/>
        </w:rPr>
        <w:t>, X</w:t>
      </w:r>
      <w:r>
        <w:rPr>
          <w:rFonts w:ascii="Arial" w:hAnsi="Arial" w:cs="Arial"/>
          <w:color w:val="000000"/>
          <w:vertAlign w:val="subscript"/>
        </w:rPr>
        <w:t>3</w:t>
      </w:r>
      <w:r>
        <w:rPr>
          <w:rFonts w:ascii="Arial" w:hAnsi="Arial" w:cs="Arial"/>
          <w:color w:val="000000"/>
        </w:rPr>
        <w:t>, X</w:t>
      </w:r>
      <w:r>
        <w:rPr>
          <w:rFonts w:ascii="Arial" w:hAnsi="Arial" w:cs="Arial"/>
          <w:color w:val="000000"/>
          <w:vertAlign w:val="subscript"/>
        </w:rPr>
        <w:t>4.</w:t>
      </w:r>
    </w:p>
    <w:p>
      <w:pPr>
        <w:spacing w:line="240" w:lineRule="auto"/>
        <w:ind w:left="426" w:hanging="426"/>
        <w:rPr>
          <w:rFonts w:ascii="Arial" w:hAnsi="Arial" w:cs="Arial"/>
          <w:color w:val="000000"/>
        </w:rPr>
      </w:pPr>
      <w:r>
        <w:rPr>
          <w:rFonts w:ascii="Arial" w:hAnsi="Arial" w:cs="Arial"/>
          <w:color w:val="000000"/>
        </w:rPr>
        <w:t>є</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 error.</w:t>
      </w:r>
    </w:p>
    <w:p>
      <w:pPr>
        <w:spacing w:after="0" w:line="240" w:lineRule="auto"/>
        <w:jc w:val="both"/>
        <w:rPr>
          <w:rFonts w:ascii="Arial" w:hAnsi="Arial" w:cs="Arial"/>
          <w:b/>
          <w:color w:val="000000"/>
        </w:rPr>
      </w:pPr>
      <w:r>
        <w:rPr>
          <w:rFonts w:ascii="Arial" w:hAnsi="Arial" w:cs="Arial"/>
          <w:b/>
          <w:color w:val="000000"/>
        </w:rPr>
        <w:t>Data Analysis Technique</w:t>
      </w:r>
    </w:p>
    <w:p>
      <w:pPr>
        <w:spacing w:after="0" w:line="240" w:lineRule="auto"/>
        <w:rPr>
          <w:rFonts w:ascii="Arial" w:hAnsi="Arial" w:cs="Arial"/>
          <w:b/>
          <w:color w:val="000000"/>
        </w:rPr>
      </w:pPr>
      <w:r>
        <w:rPr>
          <w:rFonts w:ascii="Arial" w:hAnsi="Arial" w:cs="Arial"/>
          <w:b/>
          <w:color w:val="000000"/>
        </w:rPr>
        <w:t>Coefficient Determination (R</w:t>
      </w:r>
      <w:r>
        <w:rPr>
          <w:rFonts w:ascii="Arial" w:hAnsi="Arial" w:cs="Arial"/>
          <w:b/>
          <w:color w:val="000000"/>
          <w:vertAlign w:val="superscript"/>
        </w:rPr>
        <w:t>2</w:t>
      </w:r>
      <w:r>
        <w:rPr>
          <w:rFonts w:ascii="Arial" w:hAnsi="Arial" w:cs="Arial"/>
          <w:b/>
          <w:color w:val="000000"/>
        </w:rPr>
        <w:t>)</w:t>
      </w:r>
    </w:p>
    <w:p>
      <w:pPr>
        <w:spacing w:after="0" w:line="240" w:lineRule="auto"/>
        <w:ind w:firstLine="426"/>
        <w:jc w:val="both"/>
        <w:rPr>
          <w:rFonts w:ascii="Arial" w:hAnsi="Arial" w:cs="Arial"/>
          <w:color w:val="000000"/>
        </w:rPr>
      </w:pPr>
      <w:r>
        <w:rPr>
          <w:rFonts w:ascii="Arial" w:hAnsi="Arial" w:cs="Arial"/>
          <w:color w:val="000000"/>
        </w:rPr>
        <w:t>Coefficient of Determination Test (R</w:t>
      </w:r>
      <w:r>
        <w:rPr>
          <w:rFonts w:ascii="Arial" w:hAnsi="Arial" w:cs="Arial"/>
          <w:color w:val="000000"/>
          <w:vertAlign w:val="superscript"/>
        </w:rPr>
        <w:t>2</w:t>
      </w:r>
      <w:r>
        <w:rPr>
          <w:rFonts w:ascii="Arial" w:hAnsi="Arial" w:cs="Arial"/>
          <w:color w:val="000000"/>
        </w:rPr>
        <w:t>) essentially measures how far the ability of the model to explain variations in the dependent variable.</w:t>
      </w:r>
    </w:p>
    <w:p>
      <w:pPr>
        <w:spacing w:after="0" w:line="240" w:lineRule="auto"/>
        <w:ind w:firstLine="426"/>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Simultaneous Significance Test (Statistic F Test)</w:t>
      </w:r>
    </w:p>
    <w:p>
      <w:pPr>
        <w:spacing w:after="0" w:line="240" w:lineRule="auto"/>
        <w:ind w:firstLine="426"/>
        <w:jc w:val="both"/>
        <w:rPr>
          <w:rFonts w:ascii="Arial" w:hAnsi="Arial" w:cs="Arial"/>
          <w:color w:val="000000"/>
        </w:rPr>
      </w:pPr>
      <w:r>
        <w:rPr>
          <w:rFonts w:ascii="Arial" w:hAnsi="Arial" w:cs="Arial"/>
          <w:color w:val="000000"/>
        </w:rPr>
        <w:t xml:space="preserve">According to Ghozali (2013), simultaneous significance test (Statistic F test) aims to measure whether all the independent variables included in the model have jointly influence on the dependent variable. </w:t>
      </w:r>
    </w:p>
    <w:p>
      <w:pPr>
        <w:spacing w:before="240" w:after="0" w:line="240" w:lineRule="auto"/>
        <w:jc w:val="both"/>
        <w:rPr>
          <w:rFonts w:ascii="Arial" w:hAnsi="Arial" w:cs="Arial"/>
          <w:b/>
          <w:color w:val="000000"/>
        </w:rPr>
      </w:pPr>
      <w:r>
        <w:rPr>
          <w:rFonts w:ascii="Arial" w:hAnsi="Arial" w:cs="Arial"/>
          <w:b/>
          <w:color w:val="000000"/>
        </w:rPr>
        <w:t>Individual Parameter Significance Test (t test)</w:t>
      </w:r>
    </w:p>
    <w:p>
      <w:pPr>
        <w:spacing w:after="0" w:line="240" w:lineRule="auto"/>
        <w:ind w:firstLine="426"/>
        <w:jc w:val="both"/>
        <w:rPr>
          <w:rFonts w:ascii="Arial" w:hAnsi="Arial" w:cs="Arial"/>
          <w:color w:val="000000"/>
        </w:rPr>
      </w:pPr>
      <w:r>
        <w:rPr>
          <w:rFonts w:ascii="Arial" w:hAnsi="Arial" w:cs="Arial"/>
          <w:color w:val="000000"/>
        </w:rPr>
        <w:t xml:space="preserve">According to Ghozali (2013), statistical t test </w:t>
      </w:r>
      <w:r>
        <w:rPr>
          <w:rFonts w:ascii="Arial" w:hAnsi="Arial" w:eastAsia="Times New Roman" w:cs="Arial"/>
          <w:color w:val="000000"/>
          <w:kern w:val="36"/>
        </w:rPr>
        <w:t>showed how far the influence of the individual independent variable in explaining the variation of dependent variable.</w:t>
      </w:r>
    </w:p>
    <w:p>
      <w:pPr>
        <w:spacing w:after="0" w:line="240" w:lineRule="auto"/>
        <w:ind w:firstLine="284"/>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Result and Discussion</w:t>
      </w:r>
    </w:p>
    <w:p>
      <w:pPr>
        <w:spacing w:after="0" w:line="240" w:lineRule="auto"/>
        <w:jc w:val="both"/>
        <w:rPr>
          <w:rFonts w:ascii="Arial" w:hAnsi="Arial" w:cs="Arial"/>
          <w:b/>
          <w:color w:val="000000"/>
        </w:rPr>
      </w:pPr>
      <w:r>
        <w:rPr>
          <w:rFonts w:ascii="Arial" w:hAnsi="Arial" w:cs="Arial"/>
          <w:b/>
          <w:color w:val="000000"/>
        </w:rPr>
        <w:t>Descriptive Statistic</w:t>
      </w:r>
    </w:p>
    <w:p>
      <w:pPr>
        <w:spacing w:after="0" w:line="240" w:lineRule="auto"/>
        <w:ind w:firstLine="426"/>
        <w:jc w:val="both"/>
        <w:rPr>
          <w:rFonts w:ascii="Arial" w:hAnsi="Arial" w:cs="Arial"/>
          <w:color w:val="000000"/>
        </w:rPr>
      </w:pPr>
      <w:r>
        <w:rPr>
          <w:rFonts w:ascii="Arial" w:hAnsi="Arial" w:cs="Arial"/>
          <w:color w:val="000000"/>
        </w:rPr>
        <w:t>Based on the results of data processing is shown in Table 1.</w:t>
      </w:r>
    </w:p>
    <w:p>
      <w:pPr>
        <w:spacing w:after="0" w:line="240" w:lineRule="auto"/>
        <w:ind w:firstLine="41"/>
        <w:jc w:val="both"/>
        <w:rPr>
          <w:rFonts w:ascii="Arial" w:hAnsi="Arial" w:cs="Arial"/>
          <w:color w:val="000000"/>
        </w:rPr>
      </w:pPr>
      <w:r>
        <w:rPr>
          <w:rFonts w:ascii="Arial" w:hAnsi="Arial" w:eastAsia="Calibri" w:cs="Arial"/>
          <w:color w:val="000000"/>
          <w:sz w:val="22"/>
          <w:szCs w:val="22"/>
          <w:lang w:val="en-US" w:eastAsia="en-US" w:bidi="ar-SA"/>
        </w:rPr>
        <w:pict>
          <v:shape id="Picture 14" o:spid="_x0000_s1028" type="#_x0000_t75" style="height:100.45pt;width:202.6pt;rotation:0f;" o:ole="f" fillcolor="#FFFFFF" filled="f" o:preferrelative="t" stroked="f" coordorigin="0,0" coordsize="21600,21600">
            <v:fill on="f" color2="#FFFFFF" focus="0%"/>
            <v:imagedata gain="65536f" blacklevel="0f" gamma="0" o:title="" r:id="rId8"/>
            <o:lock v:ext="edit" position="f" selection="f" grouping="f" rotation="f" cropping="f" text="f" aspectratio="t"/>
            <w10:wrap type="none"/>
            <w10:anchorlock/>
          </v:shape>
        </w:pict>
      </w:r>
    </w:p>
    <w:p>
      <w:pPr>
        <w:spacing w:after="0" w:line="240" w:lineRule="auto"/>
        <w:jc w:val="both"/>
        <w:rPr>
          <w:rFonts w:ascii="Arial" w:hAnsi="Arial" w:cs="Arial"/>
          <w:color w:val="000000"/>
          <w:sz w:val="16"/>
          <w:szCs w:val="16"/>
        </w:rPr>
      </w:pPr>
    </w:p>
    <w:p>
      <w:pPr>
        <w:spacing w:after="0" w:line="240" w:lineRule="auto"/>
        <w:ind w:firstLine="426"/>
        <w:jc w:val="both"/>
        <w:rPr>
          <w:rFonts w:ascii="Arial" w:hAnsi="Arial" w:cs="Arial"/>
          <w:color w:val="000000"/>
        </w:rPr>
      </w:pPr>
      <w:r>
        <w:rPr>
          <w:rFonts w:ascii="Arial" w:hAnsi="Arial" w:cs="Arial"/>
          <w:color w:val="000000"/>
        </w:rPr>
        <w:t xml:space="preserve">Table 1 indicates that the amount of data used in this study were 100 (one hundred) data with the observation period of 2010 to 2014. The minimum value of the capital adequacy is </w:t>
      </w:r>
      <w:r>
        <w:rPr>
          <w:rFonts w:ascii="Arial" w:hAnsi="Arial" w:eastAsia="Times New Roman" w:cs="Arial"/>
          <w:color w:val="000000"/>
          <w:kern w:val="36"/>
        </w:rPr>
        <w:t>10.1200</w:t>
      </w:r>
      <w:r>
        <w:rPr>
          <w:rFonts w:ascii="Arial" w:hAnsi="Arial" w:cs="Arial"/>
          <w:color w:val="000000"/>
        </w:rPr>
        <w:t xml:space="preserve">, maximum value is </w:t>
      </w:r>
      <w:r>
        <w:rPr>
          <w:rFonts w:ascii="Arial" w:hAnsi="Arial" w:eastAsia="Times New Roman" w:cs="Arial"/>
          <w:color w:val="000000"/>
          <w:kern w:val="36"/>
        </w:rPr>
        <w:t xml:space="preserve">25.9500, </w:t>
      </w:r>
      <w:r>
        <w:rPr>
          <w:rFonts w:ascii="Arial" w:hAnsi="Arial" w:cs="Arial"/>
          <w:color w:val="000000"/>
        </w:rPr>
        <w:t xml:space="preserve">the average is </w:t>
      </w:r>
      <w:r>
        <w:rPr>
          <w:rFonts w:ascii="Arial" w:hAnsi="Arial" w:eastAsia="Times New Roman" w:cs="Arial"/>
          <w:color w:val="000000"/>
          <w:kern w:val="36"/>
        </w:rPr>
        <w:t xml:space="preserve">1.3966 </w:t>
      </w:r>
      <w:r>
        <w:rPr>
          <w:rFonts w:ascii="Arial" w:hAnsi="Arial" w:cs="Arial"/>
          <w:color w:val="000000"/>
        </w:rPr>
        <w:t xml:space="preserve">with standard deviation of </w:t>
      </w:r>
      <w:r>
        <w:rPr>
          <w:rFonts w:ascii="Arial" w:hAnsi="Arial" w:eastAsia="Times New Roman" w:cs="Arial"/>
          <w:color w:val="000000"/>
          <w:kern w:val="36"/>
        </w:rPr>
        <w:t xml:space="preserve">2.6555. </w:t>
      </w:r>
      <w:r>
        <w:rPr>
          <w:rFonts w:ascii="Arial" w:hAnsi="Arial" w:cs="Arial"/>
          <w:color w:val="000000"/>
        </w:rPr>
        <w:t xml:space="preserve">The minimum value of the asset quality is </w:t>
      </w:r>
      <w:r>
        <w:rPr>
          <w:rFonts w:ascii="Arial" w:hAnsi="Arial" w:eastAsia="Times New Roman" w:cs="Arial"/>
          <w:color w:val="000000"/>
          <w:kern w:val="36"/>
        </w:rPr>
        <w:t>1.3200</w:t>
      </w:r>
      <w:r>
        <w:rPr>
          <w:rFonts w:ascii="Arial" w:hAnsi="Arial" w:cs="Arial"/>
          <w:color w:val="000000"/>
        </w:rPr>
        <w:t xml:space="preserve">, maximum value is </w:t>
      </w:r>
      <w:r>
        <w:rPr>
          <w:rFonts w:ascii="Arial" w:hAnsi="Arial" w:eastAsia="Times New Roman" w:cs="Arial"/>
          <w:color w:val="000000"/>
          <w:kern w:val="36"/>
        </w:rPr>
        <w:t>6.8400</w:t>
      </w:r>
      <w:r>
        <w:rPr>
          <w:rFonts w:ascii="Arial" w:hAnsi="Arial" w:cs="Arial"/>
          <w:color w:val="000000"/>
        </w:rPr>
        <w:t xml:space="preserve">, the average is </w:t>
      </w:r>
      <w:r>
        <w:rPr>
          <w:rFonts w:ascii="Arial" w:hAnsi="Arial" w:eastAsia="Times New Roman" w:cs="Arial"/>
          <w:color w:val="000000"/>
          <w:kern w:val="36"/>
        </w:rPr>
        <w:t xml:space="preserve">3.57220 </w:t>
      </w:r>
      <w:r>
        <w:rPr>
          <w:rFonts w:ascii="Arial" w:hAnsi="Arial" w:cs="Arial"/>
          <w:color w:val="000000"/>
        </w:rPr>
        <w:t xml:space="preserve">with standard deviation of </w:t>
      </w:r>
      <w:r>
        <w:rPr>
          <w:rFonts w:ascii="Arial" w:hAnsi="Arial" w:eastAsia="Times New Roman" w:cs="Arial"/>
          <w:color w:val="000000"/>
          <w:kern w:val="36"/>
        </w:rPr>
        <w:t>1.1199</w:t>
      </w:r>
      <w:r>
        <w:rPr>
          <w:rFonts w:ascii="Arial" w:hAnsi="Arial" w:cs="Arial"/>
          <w:color w:val="000000"/>
        </w:rPr>
        <w:t xml:space="preserve">. The minimum value of profitability is </w:t>
      </w:r>
      <w:r>
        <w:rPr>
          <w:rFonts w:ascii="Arial" w:hAnsi="Arial" w:eastAsia="Times New Roman" w:cs="Arial"/>
          <w:color w:val="000000"/>
          <w:kern w:val="36"/>
        </w:rPr>
        <w:t>0.0300</w:t>
      </w:r>
      <w:r>
        <w:rPr>
          <w:rFonts w:ascii="Arial" w:hAnsi="Arial" w:cs="Arial"/>
          <w:color w:val="000000"/>
        </w:rPr>
        <w:t xml:space="preserve">, maximum value is </w:t>
      </w:r>
      <w:r>
        <w:rPr>
          <w:rFonts w:ascii="Arial" w:hAnsi="Arial" w:eastAsia="Times New Roman" w:cs="Arial"/>
          <w:color w:val="000000"/>
          <w:kern w:val="36"/>
        </w:rPr>
        <w:t>4.130000</w:t>
      </w:r>
      <w:r>
        <w:rPr>
          <w:rFonts w:ascii="Arial" w:hAnsi="Arial" w:cs="Arial"/>
          <w:color w:val="000000"/>
        </w:rPr>
        <w:t xml:space="preserve">, the average is </w:t>
      </w:r>
      <w:r>
        <w:rPr>
          <w:rFonts w:ascii="Arial" w:hAnsi="Arial" w:eastAsia="Times New Roman" w:cs="Arial"/>
          <w:color w:val="000000"/>
          <w:kern w:val="36"/>
        </w:rPr>
        <w:t xml:space="preserve">1.534125 </w:t>
      </w:r>
      <w:r>
        <w:rPr>
          <w:rFonts w:ascii="Arial" w:hAnsi="Arial" w:cs="Arial"/>
          <w:color w:val="000000"/>
        </w:rPr>
        <w:t xml:space="preserve">with standard deviation of </w:t>
      </w:r>
      <w:r>
        <w:rPr>
          <w:rFonts w:ascii="Arial" w:hAnsi="Arial" w:eastAsia="Times New Roman" w:cs="Arial"/>
          <w:color w:val="000000"/>
          <w:kern w:val="36"/>
        </w:rPr>
        <w:t xml:space="preserve">0.954690. </w:t>
      </w:r>
      <w:r>
        <w:rPr>
          <w:rFonts w:ascii="Arial" w:hAnsi="Arial" w:cs="Arial"/>
          <w:color w:val="000000"/>
        </w:rPr>
        <w:t xml:space="preserve">The minimum value of </w:t>
      </w:r>
      <w:r>
        <w:rPr>
          <w:rFonts w:ascii="Arial" w:hAnsi="Arial" w:eastAsia="Times New Roman" w:cs="Arial"/>
          <w:color w:val="000000"/>
          <w:kern w:val="36"/>
        </w:rPr>
        <w:t xml:space="preserve">liquidity </w:t>
      </w:r>
      <w:r>
        <w:rPr>
          <w:rFonts w:ascii="Arial" w:hAnsi="Arial" w:cs="Arial"/>
          <w:color w:val="000000"/>
        </w:rPr>
        <w:t xml:space="preserve">is </w:t>
      </w:r>
      <w:r>
        <w:rPr>
          <w:rFonts w:ascii="Arial" w:hAnsi="Arial" w:eastAsia="Times New Roman" w:cs="Arial"/>
          <w:color w:val="000000"/>
          <w:kern w:val="36"/>
        </w:rPr>
        <w:t>78.1700</w:t>
      </w:r>
      <w:r>
        <w:rPr>
          <w:rFonts w:ascii="Arial" w:hAnsi="Arial" w:cs="Arial"/>
          <w:color w:val="000000"/>
        </w:rPr>
        <w:t xml:space="preserve">, maximum value is </w:t>
      </w:r>
      <w:r>
        <w:rPr>
          <w:rFonts w:ascii="Arial" w:hAnsi="Arial" w:eastAsia="Times New Roman" w:cs="Arial"/>
          <w:color w:val="000000"/>
          <w:kern w:val="36"/>
        </w:rPr>
        <w:t xml:space="preserve">108.910, </w:t>
      </w:r>
      <w:r>
        <w:rPr>
          <w:rFonts w:ascii="Arial" w:hAnsi="Arial" w:cs="Arial"/>
          <w:color w:val="000000"/>
        </w:rPr>
        <w:t xml:space="preserve">the average is </w:t>
      </w:r>
      <w:r>
        <w:rPr>
          <w:rFonts w:ascii="Arial" w:hAnsi="Arial" w:eastAsia="Times New Roman" w:cs="Arial"/>
          <w:color w:val="000000"/>
          <w:kern w:val="36"/>
        </w:rPr>
        <w:t xml:space="preserve">94.0937 </w:t>
      </w:r>
      <w:r>
        <w:rPr>
          <w:rFonts w:ascii="Arial" w:hAnsi="Arial" w:cs="Arial"/>
          <w:color w:val="000000"/>
        </w:rPr>
        <w:t xml:space="preserve">with standard deviation of </w:t>
      </w:r>
      <w:r>
        <w:rPr>
          <w:rFonts w:ascii="Arial" w:hAnsi="Arial" w:eastAsia="Times New Roman" w:cs="Arial"/>
          <w:color w:val="000000"/>
          <w:kern w:val="36"/>
        </w:rPr>
        <w:t xml:space="preserve">7.11515. </w:t>
      </w:r>
      <w:r>
        <w:rPr>
          <w:rFonts w:ascii="Arial" w:hAnsi="Arial" w:cs="Arial"/>
          <w:color w:val="000000"/>
        </w:rPr>
        <w:t xml:space="preserve">The minimum value of efficiency is </w:t>
      </w:r>
      <w:r>
        <w:rPr>
          <w:rFonts w:ascii="Arial" w:hAnsi="Arial" w:eastAsia="Times New Roman" w:cs="Arial"/>
          <w:color w:val="000000"/>
          <w:kern w:val="36"/>
        </w:rPr>
        <w:t>69.2400</w:t>
      </w:r>
      <w:r>
        <w:rPr>
          <w:rFonts w:ascii="Arial" w:hAnsi="Arial" w:cs="Arial"/>
          <w:color w:val="000000"/>
        </w:rPr>
        <w:t xml:space="preserve">, maximum value is </w:t>
      </w:r>
      <w:r>
        <w:rPr>
          <w:rFonts w:ascii="Arial" w:hAnsi="Arial" w:eastAsia="Times New Roman" w:cs="Arial"/>
          <w:color w:val="000000"/>
          <w:kern w:val="36"/>
        </w:rPr>
        <w:t>101.380</w:t>
      </w:r>
      <w:r>
        <w:rPr>
          <w:rFonts w:ascii="Arial" w:hAnsi="Arial" w:cs="Arial"/>
          <w:color w:val="000000"/>
        </w:rPr>
        <w:t xml:space="preserve">, the average is </w:t>
      </w:r>
      <w:r>
        <w:rPr>
          <w:rFonts w:ascii="Arial" w:hAnsi="Arial" w:eastAsia="Times New Roman" w:cs="Arial"/>
          <w:color w:val="000000"/>
          <w:kern w:val="36"/>
        </w:rPr>
        <w:t xml:space="preserve">8.78685 </w:t>
      </w:r>
      <w:r>
        <w:rPr>
          <w:rFonts w:ascii="Arial" w:hAnsi="Arial" w:cs="Arial"/>
          <w:color w:val="000000"/>
        </w:rPr>
        <w:t xml:space="preserve">with standard deviation of </w:t>
      </w:r>
      <w:r>
        <w:rPr>
          <w:rFonts w:ascii="Arial" w:hAnsi="Arial" w:eastAsia="Times New Roman" w:cs="Arial"/>
          <w:color w:val="000000"/>
          <w:kern w:val="36"/>
        </w:rPr>
        <w:t>8.3291.</w:t>
      </w:r>
    </w:p>
    <w:p>
      <w:pPr>
        <w:shd w:val="clear" w:color="auto" w:fill="FFFFFF"/>
        <w:spacing w:before="240" w:after="0" w:line="240" w:lineRule="auto"/>
        <w:rPr>
          <w:rFonts w:ascii="Arial" w:hAnsi="Arial" w:cs="Arial"/>
          <w:b/>
          <w:color w:val="000000"/>
        </w:rPr>
      </w:pPr>
    </w:p>
    <w:p>
      <w:pPr>
        <w:shd w:val="clear" w:color="auto" w:fill="FFFFFF"/>
        <w:spacing w:after="0" w:line="240" w:lineRule="auto"/>
        <w:rPr>
          <w:rFonts w:ascii="Arial" w:hAnsi="Arial" w:cs="Arial"/>
          <w:b/>
          <w:color w:val="000000"/>
        </w:rPr>
      </w:pPr>
      <w:r>
        <w:rPr>
          <w:rFonts w:ascii="Arial" w:hAnsi="Arial" w:cs="Arial"/>
          <w:b/>
          <w:color w:val="000000"/>
        </w:rPr>
        <w:t>Advisability Test of Data</w:t>
      </w:r>
    </w:p>
    <w:p>
      <w:pPr>
        <w:shd w:val="clear" w:color="auto" w:fill="FFFFFF"/>
        <w:spacing w:after="0" w:line="240" w:lineRule="auto"/>
        <w:rPr>
          <w:rFonts w:ascii="Arial" w:hAnsi="Arial" w:cs="Arial"/>
          <w:b/>
          <w:color w:val="000000"/>
        </w:rPr>
      </w:pPr>
      <w:r>
        <w:rPr>
          <w:rFonts w:ascii="Arial" w:hAnsi="Arial" w:cs="Arial"/>
          <w:b/>
          <w:color w:val="000000"/>
        </w:rPr>
        <w:t>Outliers Test</w:t>
      </w:r>
    </w:p>
    <w:p>
      <w:pPr>
        <w:spacing w:after="0" w:line="240" w:lineRule="auto"/>
        <w:ind w:firstLine="426"/>
        <w:jc w:val="both"/>
        <w:rPr>
          <w:rFonts w:ascii="Arial" w:hAnsi="Arial" w:cs="Arial"/>
          <w:color w:val="000000"/>
        </w:rPr>
      </w:pPr>
      <w:r>
        <w:rPr>
          <w:rFonts w:ascii="Arial" w:hAnsi="Arial" w:cs="Arial"/>
          <w:color w:val="000000"/>
        </w:rPr>
        <w:t>Outlier test results can be seen in Table 2.</w:t>
      </w:r>
    </w:p>
    <w:p>
      <w:pPr>
        <w:spacing w:after="0" w:line="240" w:lineRule="auto"/>
        <w:ind w:firstLine="41"/>
        <w:jc w:val="center"/>
        <w:rPr>
          <w:rFonts w:ascii="Arial" w:hAnsi="Arial" w:cs="Arial"/>
          <w:b/>
          <w:color w:val="000000"/>
        </w:rPr>
      </w:pPr>
      <w:r>
        <w:rPr>
          <w:rFonts w:ascii="Arial" w:hAnsi="Arial" w:eastAsia="Calibri" w:cs="Arial"/>
          <w:b/>
          <w:color w:val="000000"/>
          <w:sz w:val="22"/>
          <w:szCs w:val="22"/>
          <w:lang w:val="en-US" w:eastAsia="en-US" w:bidi="ar-SA"/>
        </w:rPr>
        <w:pict>
          <v:shape id="Picture 15" o:spid="_x0000_s1029" type="#_x0000_t75" style="height:163.25pt;width:202.6pt;rotation:0f;" o:ole="f" fillcolor="#FFFFFF" filled="f" o:preferrelative="t" stroked="f" coordorigin="0,0" coordsize="21600,21600">
            <v:fill on="f" color2="#FFFFFF" focus="0%"/>
            <v:imagedata gain="65536f" blacklevel="0f" gamma="0" o:title="" r:id="rId9"/>
            <o:lock v:ext="edit" position="f" selection="f" grouping="f" rotation="f" cropping="f" text="f" aspectratio="t"/>
            <w10:wrap type="none"/>
            <w10:anchorlock/>
          </v:shape>
        </w:pict>
      </w:r>
    </w:p>
    <w:p>
      <w:pPr>
        <w:spacing w:after="0" w:line="240" w:lineRule="auto"/>
        <w:ind w:firstLine="426"/>
        <w:jc w:val="both"/>
        <w:rPr>
          <w:rFonts w:ascii="Arial" w:hAnsi="Arial" w:cs="Arial"/>
          <w:color w:val="000000"/>
        </w:rPr>
      </w:pPr>
      <w:r>
        <w:rPr>
          <w:rFonts w:ascii="Arial" w:hAnsi="Arial" w:cs="Arial"/>
          <w:color w:val="000000"/>
        </w:rPr>
        <w:t>In Table 2 there are 9 (nine) data that have a value in the range of 3 to 4. Therefore, the data used in this study to be reduced because there are 9 (nine) data outliers found that should be eliminated.</w:t>
      </w:r>
    </w:p>
    <w:p>
      <w:pPr>
        <w:spacing w:after="0" w:line="240" w:lineRule="auto"/>
        <w:ind w:firstLine="426"/>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Normality Test</w:t>
      </w:r>
      <w:r>
        <w:rPr>
          <w:rFonts w:ascii="Arial" w:hAnsi="Arial" w:cs="Arial"/>
          <w:color w:val="000000"/>
        </w:rPr>
        <w:tab/>
      </w:r>
    </w:p>
    <w:p>
      <w:pPr>
        <w:tabs>
          <w:tab w:val="center" w:pos="4513"/>
          <w:tab w:val="left" w:pos="7083"/>
        </w:tabs>
        <w:spacing w:after="0" w:line="240" w:lineRule="auto"/>
        <w:ind w:firstLine="426"/>
        <w:jc w:val="both"/>
        <w:rPr>
          <w:rFonts w:ascii="Arial" w:hAnsi="Arial" w:cs="Arial"/>
          <w:color w:val="000000"/>
        </w:rPr>
      </w:pPr>
      <w:r>
        <w:rPr>
          <w:rFonts w:ascii="Arial" w:hAnsi="Arial" w:cs="Arial"/>
          <w:color w:val="000000"/>
        </w:rPr>
        <w:t>In addition to detect the normality of data can be done with the Kolmogorov-Smirnov test to determine in advance the hypothesis testing.</w:t>
      </w:r>
    </w:p>
    <w:p>
      <w:pPr>
        <w:autoSpaceDE w:val="0"/>
        <w:autoSpaceDN w:val="0"/>
        <w:adjustRightInd w:val="0"/>
        <w:spacing w:after="0" w:line="240" w:lineRule="auto"/>
        <w:ind w:firstLine="426"/>
        <w:rPr>
          <w:rFonts w:ascii="Arial" w:hAnsi="Arial" w:cs="Arial"/>
          <w:color w:val="000000"/>
        </w:rPr>
      </w:pPr>
      <w:r>
        <w:rPr>
          <w:rFonts w:ascii="Arial" w:hAnsi="Arial" w:cs="Arial"/>
          <w:color w:val="000000"/>
        </w:rPr>
        <w:t>Kolmogorov-Smirnov test results can be seen in Table 3.</w:t>
      </w:r>
    </w:p>
    <w:p>
      <w:pPr>
        <w:autoSpaceDE w:val="0"/>
        <w:autoSpaceDN w:val="0"/>
        <w:adjustRightInd w:val="0"/>
        <w:spacing w:after="0" w:line="240" w:lineRule="auto"/>
        <w:rPr>
          <w:rFonts w:ascii="Arial" w:hAnsi="Arial" w:cs="Arial"/>
          <w:color w:val="000000"/>
        </w:rPr>
      </w:pPr>
      <w:r>
        <w:rPr>
          <w:rFonts w:ascii="Arial" w:hAnsi="Arial" w:eastAsia="Calibri" w:cs="Arial"/>
          <w:color w:val="000000"/>
          <w:sz w:val="22"/>
          <w:szCs w:val="22"/>
          <w:lang w:val="en-US" w:eastAsia="en-US" w:bidi="ar-SA"/>
        </w:rPr>
        <w:pict>
          <v:shape id="Picture 17" o:spid="_x0000_s1030" type="#_x0000_t75" style="height:117.2pt;width:202.6pt;rotation:0f;" o:ole="f" fillcolor="#FFFFFF" filled="f" o:preferrelative="t" stroked="f" coordorigin="0,0" coordsize="21600,21600">
            <v:fill on="f" color2="#FFFFFF" focus="0%"/>
            <v:imagedata gain="65536f" blacklevel="0f" gamma="0" o:title="" r:id="rId10"/>
            <o:lock v:ext="edit" position="f" selection="f" grouping="f" rotation="f" cropping="f" text="f" aspectratio="t"/>
            <w10:wrap type="none"/>
            <w10:anchorlock/>
          </v:shape>
        </w:pict>
      </w:r>
    </w:p>
    <w:p>
      <w:pPr>
        <w:spacing w:before="240" w:after="0" w:line="240" w:lineRule="auto"/>
        <w:ind w:firstLine="426"/>
        <w:jc w:val="both"/>
        <w:rPr>
          <w:rFonts w:ascii="Arial" w:hAnsi="Arial" w:cs="Arial"/>
          <w:color w:val="000000"/>
        </w:rPr>
      </w:pPr>
      <w:r>
        <w:rPr>
          <w:rFonts w:ascii="Arial" w:hAnsi="Arial" w:cs="Arial"/>
          <w:color w:val="000000"/>
        </w:rPr>
        <w:t>Based on Table 3 Kolmogorov-Smirnov value is 0.951 with significance probability at 0.326 &gt; 0.05, this means that the data is normally distributed.</w:t>
      </w:r>
    </w:p>
    <w:p>
      <w:pPr>
        <w:spacing w:before="240" w:after="0" w:line="240" w:lineRule="auto"/>
        <w:jc w:val="both"/>
        <w:rPr>
          <w:rFonts w:ascii="Arial" w:hAnsi="Arial" w:cs="Arial"/>
          <w:b/>
          <w:color w:val="000000"/>
        </w:rPr>
      </w:pPr>
      <w:r>
        <w:rPr>
          <w:rFonts w:ascii="Arial" w:hAnsi="Arial" w:cs="Arial"/>
          <w:b/>
          <w:color w:val="000000"/>
        </w:rPr>
        <w:t>Classical Assumption Test</w:t>
      </w:r>
    </w:p>
    <w:p>
      <w:pPr>
        <w:spacing w:after="0" w:line="240" w:lineRule="auto"/>
        <w:jc w:val="both"/>
        <w:rPr>
          <w:rFonts w:ascii="Arial" w:hAnsi="Arial" w:cs="Arial"/>
          <w:b/>
          <w:color w:val="000000"/>
        </w:rPr>
      </w:pPr>
      <w:r>
        <w:rPr>
          <w:rFonts w:ascii="Arial" w:hAnsi="Arial" w:cs="Arial"/>
          <w:b/>
          <w:color w:val="000000"/>
        </w:rPr>
        <w:t>Linearity Test</w:t>
      </w:r>
    </w:p>
    <w:p>
      <w:pPr>
        <w:pStyle w:val="12"/>
        <w:spacing w:after="0" w:line="240" w:lineRule="auto"/>
        <w:ind w:left="0" w:firstLine="426"/>
        <w:jc w:val="both"/>
        <w:rPr>
          <w:rFonts w:ascii="Arial" w:hAnsi="Arial" w:cs="Arial"/>
          <w:color w:val="000000"/>
        </w:rPr>
      </w:pPr>
      <w:r>
        <w:rPr>
          <w:rFonts w:ascii="Arial" w:hAnsi="Arial" w:cs="Arial"/>
          <w:color w:val="000000"/>
        </w:rPr>
        <w:t>Linearity test results can be seen in Table 4.</w:t>
      </w:r>
    </w:p>
    <w:p>
      <w:pPr>
        <w:pStyle w:val="12"/>
        <w:spacing w:after="0" w:line="240" w:lineRule="auto"/>
        <w:ind w:left="0"/>
        <w:jc w:val="both"/>
        <w:rPr>
          <w:rFonts w:ascii="Arial" w:hAnsi="Arial" w:cs="Arial"/>
          <w:b/>
          <w:color w:val="000000"/>
        </w:rPr>
      </w:pPr>
      <w:r>
        <w:rPr>
          <w:rFonts w:ascii="Arial" w:hAnsi="Arial" w:eastAsia="Calibri" w:cs="Arial"/>
          <w:b/>
          <w:color w:val="000000"/>
          <w:sz w:val="22"/>
          <w:szCs w:val="22"/>
          <w:lang w:val="en-US" w:eastAsia="en-US" w:bidi="ar-SA"/>
        </w:rPr>
        <w:pict>
          <v:shape id="Picture 18" o:spid="_x0000_s1031" type="#_x0000_t75" style="height:69.5pt;width:202.6pt;rotation:0f;" o:ole="f" fillcolor="#FFFFFF" filled="f" o:preferrelative="t" stroked="f" coordorigin="0,0" coordsize="21600,21600">
            <v:fill on="f" color2="#FFFFFF" focus="0%"/>
            <v:imagedata gain="65536f" blacklevel="0f" gamma="0" o:title="" r:id="rId11"/>
            <o:lock v:ext="edit" position="f" selection="f" grouping="f" rotation="f" cropping="f" text="f" aspectratio="t"/>
            <w10:wrap type="none"/>
            <w10:anchorlock/>
          </v:shape>
        </w:pict>
      </w:r>
    </w:p>
    <w:p>
      <w:pPr>
        <w:pStyle w:val="15"/>
        <w:spacing w:before="0" w:beforeAutospacing="0" w:after="0" w:afterAutospacing="0"/>
        <w:ind w:firstLine="426"/>
        <w:jc w:val="both"/>
        <w:rPr>
          <w:rStyle w:val="23"/>
          <w:rFonts w:ascii="Arial" w:hAnsi="Arial" w:eastAsia="Calibri" w:cs="Arial"/>
          <w:color w:val="000000"/>
          <w:sz w:val="22"/>
          <w:szCs w:val="22"/>
          <w:lang/>
        </w:rPr>
      </w:pPr>
    </w:p>
    <w:p>
      <w:pPr>
        <w:pStyle w:val="15"/>
        <w:spacing w:before="0" w:beforeAutospacing="0" w:after="0" w:afterAutospacing="0"/>
        <w:ind w:firstLine="426"/>
        <w:jc w:val="both"/>
        <w:rPr>
          <w:rStyle w:val="23"/>
          <w:rFonts w:ascii="Arial" w:hAnsi="Arial" w:eastAsia="Calibri" w:cs="Arial"/>
          <w:color w:val="000000"/>
          <w:sz w:val="22"/>
          <w:szCs w:val="22"/>
        </w:rPr>
      </w:pPr>
      <w:r>
        <w:rPr>
          <w:rStyle w:val="23"/>
          <w:rFonts w:ascii="Arial" w:hAnsi="Arial" w:eastAsia="Calibri" w:cs="Arial"/>
          <w:color w:val="000000"/>
          <w:sz w:val="22"/>
          <w:szCs w:val="22"/>
        </w:rPr>
        <w:t>The output shows the value of  R</w:t>
      </w:r>
      <w:r>
        <w:rPr>
          <w:rStyle w:val="23"/>
          <w:rFonts w:ascii="Arial" w:hAnsi="Arial" w:eastAsia="Calibri" w:cs="Arial"/>
          <w:color w:val="000000"/>
          <w:sz w:val="22"/>
          <w:szCs w:val="22"/>
          <w:vertAlign w:val="superscript"/>
        </w:rPr>
        <w:t>2</w:t>
      </w:r>
      <w:r>
        <w:rPr>
          <w:rStyle w:val="22"/>
          <w:rFonts w:ascii="Arial" w:hAnsi="Arial" w:eastAsia="Calibri" w:cs="Arial"/>
          <w:color w:val="000000"/>
          <w:sz w:val="22"/>
          <w:szCs w:val="22"/>
        </w:rPr>
        <w:t> </w:t>
      </w:r>
      <w:r>
        <w:rPr>
          <w:rStyle w:val="23"/>
          <w:rFonts w:ascii="Arial" w:hAnsi="Arial" w:eastAsia="Calibri" w:cs="Arial"/>
          <w:color w:val="000000"/>
          <w:sz w:val="22"/>
          <w:szCs w:val="22"/>
        </w:rPr>
        <w:t>by 0.006, number of observations (n) 91 and value of c</w:t>
      </w:r>
      <w:r>
        <w:rPr>
          <w:rStyle w:val="23"/>
          <w:rFonts w:ascii="Arial" w:hAnsi="Arial" w:eastAsia="Calibri" w:cs="Arial"/>
          <w:color w:val="000000"/>
          <w:sz w:val="22"/>
          <w:szCs w:val="22"/>
          <w:vertAlign w:val="superscript"/>
        </w:rPr>
        <w:t>2</w:t>
      </w:r>
      <w:r>
        <w:rPr>
          <w:rStyle w:val="22"/>
          <w:rFonts w:ascii="Arial" w:hAnsi="Arial" w:eastAsia="Calibri" w:cs="Arial"/>
          <w:color w:val="000000"/>
          <w:sz w:val="22"/>
          <w:szCs w:val="22"/>
        </w:rPr>
        <w:t> </w:t>
      </w:r>
      <w:r>
        <w:rPr>
          <w:rStyle w:val="23"/>
          <w:rFonts w:ascii="Arial" w:hAnsi="Arial" w:eastAsia="Calibri" w:cs="Arial"/>
          <w:color w:val="000000"/>
          <w:sz w:val="22"/>
          <w:szCs w:val="22"/>
        </w:rPr>
        <w:t>count equal to 0.546.</w:t>
      </w:r>
      <w:r>
        <w:rPr>
          <w:rStyle w:val="22"/>
          <w:rFonts w:ascii="Arial" w:hAnsi="Arial" w:eastAsia="Calibri" w:cs="Arial"/>
          <w:color w:val="000000"/>
          <w:sz w:val="22"/>
          <w:szCs w:val="22"/>
        </w:rPr>
        <w:t> </w:t>
      </w:r>
      <w:r>
        <w:rPr>
          <w:rStyle w:val="23"/>
          <w:rFonts w:ascii="Arial" w:hAnsi="Arial" w:eastAsia="Calibri" w:cs="Arial"/>
          <w:color w:val="000000"/>
          <w:sz w:val="22"/>
          <w:szCs w:val="22"/>
        </w:rPr>
        <w:t>This value is compared with the c</w:t>
      </w:r>
      <w:r>
        <w:rPr>
          <w:rStyle w:val="22"/>
          <w:rFonts w:ascii="Arial" w:hAnsi="Arial" w:eastAsia="Calibri" w:cs="Arial"/>
          <w:color w:val="000000"/>
          <w:sz w:val="22"/>
          <w:szCs w:val="22"/>
        </w:rPr>
        <w:t> </w:t>
      </w:r>
      <w:r>
        <w:rPr>
          <w:rStyle w:val="23"/>
          <w:rFonts w:ascii="Arial" w:hAnsi="Arial" w:eastAsia="Calibri" w:cs="Arial"/>
          <w:color w:val="000000"/>
          <w:sz w:val="22"/>
          <w:szCs w:val="22"/>
          <w:vertAlign w:val="superscript"/>
        </w:rPr>
        <w:t>2</w:t>
      </w:r>
      <w:r>
        <w:rPr>
          <w:rStyle w:val="22"/>
          <w:rFonts w:ascii="Arial" w:hAnsi="Arial" w:eastAsia="Calibri" w:cs="Arial"/>
          <w:color w:val="000000"/>
          <w:sz w:val="22"/>
          <w:szCs w:val="22"/>
        </w:rPr>
        <w:t> </w:t>
      </w:r>
      <w:r>
        <w:rPr>
          <w:rStyle w:val="23"/>
          <w:rFonts w:ascii="Arial" w:hAnsi="Arial" w:eastAsia="Calibri" w:cs="Arial"/>
          <w:color w:val="000000"/>
          <w:sz w:val="22"/>
          <w:szCs w:val="22"/>
        </w:rPr>
        <w:t>table with df 86 and the significance level 0.05 obtained value of c</w:t>
      </w:r>
      <w:r>
        <w:rPr>
          <w:rStyle w:val="23"/>
          <w:rFonts w:ascii="Arial" w:hAnsi="Arial" w:eastAsia="Calibri" w:cs="Arial"/>
          <w:color w:val="000000"/>
          <w:sz w:val="22"/>
          <w:szCs w:val="22"/>
          <w:vertAlign w:val="superscript"/>
        </w:rPr>
        <w:t>2</w:t>
      </w:r>
      <w:r>
        <w:rPr>
          <w:rStyle w:val="22"/>
          <w:rFonts w:ascii="Arial" w:hAnsi="Arial" w:eastAsia="Calibri" w:cs="Arial"/>
          <w:color w:val="000000"/>
          <w:sz w:val="22"/>
          <w:szCs w:val="22"/>
        </w:rPr>
        <w:t> </w:t>
      </w:r>
      <w:r>
        <w:rPr>
          <w:rStyle w:val="23"/>
          <w:rFonts w:ascii="Arial" w:hAnsi="Arial" w:eastAsia="Calibri" w:cs="Arial"/>
          <w:color w:val="000000"/>
          <w:sz w:val="22"/>
          <w:szCs w:val="22"/>
        </w:rPr>
        <w:t>table 112.40.</w:t>
      </w:r>
      <w:r>
        <w:rPr>
          <w:rStyle w:val="22"/>
          <w:rFonts w:ascii="Arial" w:hAnsi="Arial" w:eastAsia="Calibri" w:cs="Arial"/>
          <w:color w:val="000000"/>
          <w:sz w:val="22"/>
          <w:szCs w:val="22"/>
        </w:rPr>
        <w:t> </w:t>
      </w:r>
      <w:r>
        <w:rPr>
          <w:rStyle w:val="23"/>
          <w:rFonts w:ascii="Arial" w:hAnsi="Arial" w:eastAsia="Calibri" w:cs="Arial"/>
          <w:color w:val="000000"/>
          <w:sz w:val="22"/>
          <w:szCs w:val="22"/>
        </w:rPr>
        <w:t>Therefore c</w:t>
      </w:r>
      <w:r>
        <w:rPr>
          <w:rStyle w:val="23"/>
          <w:rFonts w:ascii="Arial" w:hAnsi="Arial" w:eastAsia="Calibri" w:cs="Arial"/>
          <w:color w:val="000000"/>
          <w:sz w:val="22"/>
          <w:szCs w:val="22"/>
          <w:vertAlign w:val="superscript"/>
        </w:rPr>
        <w:t>2</w:t>
      </w:r>
      <w:r>
        <w:rPr>
          <w:rStyle w:val="23"/>
          <w:rFonts w:ascii="Arial" w:hAnsi="Arial" w:eastAsia="Calibri" w:cs="Arial"/>
          <w:color w:val="000000"/>
          <w:sz w:val="22"/>
          <w:szCs w:val="22"/>
        </w:rPr>
        <w:t>count value is smaller than c</w:t>
      </w:r>
      <w:r>
        <w:rPr>
          <w:rStyle w:val="23"/>
          <w:rFonts w:ascii="Arial" w:hAnsi="Arial" w:eastAsia="Calibri" w:cs="Arial"/>
          <w:color w:val="000000"/>
          <w:sz w:val="22"/>
          <w:szCs w:val="22"/>
          <w:vertAlign w:val="superscript"/>
        </w:rPr>
        <w:t>2</w:t>
      </w:r>
      <w:r>
        <w:rPr>
          <w:rStyle w:val="22"/>
          <w:rFonts w:ascii="Arial" w:hAnsi="Arial" w:eastAsia="Calibri" w:cs="Arial"/>
          <w:color w:val="000000"/>
          <w:sz w:val="22"/>
          <w:szCs w:val="22"/>
        </w:rPr>
        <w:t> </w:t>
      </w:r>
      <w:r>
        <w:rPr>
          <w:rStyle w:val="23"/>
          <w:rFonts w:ascii="Arial" w:hAnsi="Arial" w:eastAsia="Calibri" w:cs="Arial"/>
          <w:color w:val="000000"/>
          <w:sz w:val="22"/>
          <w:szCs w:val="22"/>
        </w:rPr>
        <w:t>table it can be concluded that the model is linear.</w:t>
      </w:r>
    </w:p>
    <w:p>
      <w:pPr>
        <w:pStyle w:val="12"/>
        <w:spacing w:after="0" w:line="240" w:lineRule="auto"/>
        <w:ind w:left="0"/>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Multicollinearity Test</w:t>
      </w:r>
    </w:p>
    <w:p>
      <w:pPr>
        <w:spacing w:after="0" w:line="240" w:lineRule="auto"/>
        <w:ind w:firstLine="426"/>
        <w:jc w:val="both"/>
        <w:rPr>
          <w:rFonts w:ascii="Arial" w:hAnsi="Arial" w:cs="Arial"/>
          <w:color w:val="000000"/>
        </w:rPr>
      </w:pPr>
      <w:r>
        <w:rPr>
          <w:rFonts w:ascii="Arial" w:hAnsi="Arial" w:cs="Arial"/>
          <w:color w:val="000000"/>
        </w:rPr>
        <w:t>Multicollinearity test results can be seen in Table 5.</w:t>
      </w:r>
    </w:p>
    <w:p>
      <w:pPr>
        <w:spacing w:after="0" w:line="240" w:lineRule="auto"/>
        <w:ind w:firstLine="41"/>
        <w:jc w:val="both"/>
        <w:rPr>
          <w:rFonts w:ascii="Arial" w:hAnsi="Arial" w:cs="Arial"/>
          <w:color w:val="000000"/>
        </w:rPr>
      </w:pPr>
      <w:r>
        <w:rPr>
          <w:rFonts w:ascii="Arial" w:hAnsi="Arial" w:eastAsia="Calibri" w:cs="Arial"/>
          <w:color w:val="000000"/>
          <w:sz w:val="22"/>
          <w:szCs w:val="22"/>
          <w:lang w:val="en-US" w:eastAsia="en-US" w:bidi="ar-SA"/>
        </w:rPr>
        <w:pict>
          <v:shape id="Picture 19" o:spid="_x0000_s1032" type="#_x0000_t75" style="height:121.4pt;width:200.1pt;rotation:0f;" o:ole="f" fillcolor="#FFFFFF" filled="f" o:preferrelative="t" stroked="f" coordorigin="0,0" coordsize="21600,21600">
            <v:fill on="f" color2="#FFFFFF" focus="0%"/>
            <v:imagedata gain="65536f" blacklevel="0f" gamma="0" o:title="" r:id="rId12"/>
            <o:lock v:ext="edit" position="f" selection="f" grouping="f" rotation="f" cropping="f" text="f" aspectratio="t"/>
            <w10:wrap type="none"/>
            <w10:anchorlock/>
          </v:shape>
        </w:pict>
      </w:r>
    </w:p>
    <w:p>
      <w:pPr>
        <w:pStyle w:val="12"/>
        <w:autoSpaceDE w:val="0"/>
        <w:autoSpaceDN w:val="0"/>
        <w:adjustRightInd w:val="0"/>
        <w:spacing w:after="0" w:line="240" w:lineRule="auto"/>
        <w:ind w:left="0" w:firstLine="426"/>
        <w:jc w:val="both"/>
        <w:rPr>
          <w:rFonts w:ascii="Arial" w:hAnsi="Arial" w:cs="Arial"/>
          <w:color w:val="000000"/>
        </w:rPr>
      </w:pPr>
      <w:r>
        <w:rPr>
          <w:rFonts w:ascii="Arial" w:hAnsi="Arial" w:cs="Arial"/>
          <w:color w:val="000000"/>
        </w:rPr>
        <w:t>Based on Table 5 seen that all the independent variables free from interference multicollinearity. This can be proved from the results of tolerance value &gt; 0.1 while the value of VIF is not more than 10. It can be concluded that the regression model in this study free from multicollinearity.</w:t>
      </w:r>
    </w:p>
    <w:p>
      <w:pPr>
        <w:pStyle w:val="12"/>
        <w:autoSpaceDE w:val="0"/>
        <w:autoSpaceDN w:val="0"/>
        <w:adjustRightInd w:val="0"/>
        <w:spacing w:after="0" w:line="240" w:lineRule="auto"/>
        <w:ind w:left="0"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Heteroscedasticity Test</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Glejser test results can be seen in Table 6.</w:t>
      </w:r>
    </w:p>
    <w:p>
      <w:pPr>
        <w:autoSpaceDE w:val="0"/>
        <w:autoSpaceDN w:val="0"/>
        <w:adjustRightInd w:val="0"/>
        <w:spacing w:after="0" w:line="240" w:lineRule="auto"/>
        <w:jc w:val="both"/>
        <w:rPr>
          <w:rFonts w:ascii="Arial" w:hAnsi="Arial" w:eastAsia="Times New Roman" w:cs="Arial"/>
          <w:color w:val="000000"/>
          <w:kern w:val="36"/>
        </w:rPr>
      </w:pPr>
      <w:r>
        <w:rPr>
          <w:rFonts w:ascii="Arial" w:hAnsi="Arial" w:eastAsia="Calibri" w:cs="Arial"/>
          <w:color w:val="000000"/>
          <w:sz w:val="22"/>
          <w:szCs w:val="22"/>
          <w:lang w:val="en-US" w:eastAsia="en-US" w:bidi="ar-SA"/>
        </w:rPr>
        <w:pict>
          <v:shape id="Picture 20" o:spid="_x0000_s1033" type="#_x0000_t75" style="height:118.9pt;width:176.65pt;rotation:0f;" o:ole="f" fillcolor="#FFFFFF" filled="f" o:preferrelative="t" stroked="f" coordorigin="0,0" coordsize="21600,21600">
            <v:fill on="f" color2="#FFFFFF" focus="0%"/>
            <v:imagedata gain="65536f" blacklevel="0f" gamma="0" o:title="" r:id="rId13"/>
            <o:lock v:ext="edit" position="f" selection="f" grouping="f" rotation="f" cropping="f" text="f" aspectratio="t"/>
            <w10:wrap type="none"/>
            <w10:anchorlock/>
          </v:shape>
        </w:pict>
      </w:r>
    </w:p>
    <w:p>
      <w:pPr>
        <w:autoSpaceDE w:val="0"/>
        <w:autoSpaceDN w:val="0"/>
        <w:adjustRightInd w:val="0"/>
        <w:spacing w:after="0" w:line="240" w:lineRule="auto"/>
        <w:ind w:firstLine="426"/>
        <w:jc w:val="both"/>
        <w:rPr>
          <w:rFonts w:ascii="Arial" w:hAnsi="Arial" w:cs="Arial"/>
          <w:color w:val="000000"/>
        </w:rPr>
      </w:pPr>
      <w:r>
        <w:rPr>
          <w:rFonts w:ascii="Arial" w:hAnsi="Arial" w:eastAsia="Times New Roman" w:cs="Arial"/>
          <w:color w:val="000000"/>
          <w:kern w:val="36"/>
        </w:rPr>
        <w:t xml:space="preserve">From the calculation of Glejser regression equation in Table 6, it can be seen that there is none of independent variables that effect dependent variable significantly. It can be seen from the value of significance that above 5 %. It can be concluded that there is no heteroscedasticity on the regression model. </w:t>
      </w:r>
    </w:p>
    <w:p>
      <w:pPr>
        <w:spacing w:before="240" w:after="0" w:line="240" w:lineRule="auto"/>
        <w:jc w:val="both"/>
        <w:outlineLvl w:val="0"/>
        <w:rPr>
          <w:rFonts w:ascii="Arial" w:hAnsi="Arial" w:eastAsia="Times New Roman" w:cs="Arial"/>
          <w:color w:val="000000"/>
          <w:kern w:val="36"/>
        </w:rPr>
      </w:pPr>
      <w:r>
        <w:rPr>
          <w:rFonts w:ascii="Arial" w:hAnsi="Arial" w:cs="Arial"/>
          <w:b/>
          <w:color w:val="000000"/>
        </w:rPr>
        <w:t>Autocorrelation Test</w:t>
      </w:r>
    </w:p>
    <w:p>
      <w:pPr>
        <w:pStyle w:val="12"/>
        <w:autoSpaceDE w:val="0"/>
        <w:autoSpaceDN w:val="0"/>
        <w:adjustRightInd w:val="0"/>
        <w:spacing w:after="0" w:line="240" w:lineRule="auto"/>
        <w:ind w:left="0" w:firstLine="426"/>
        <w:jc w:val="both"/>
        <w:rPr>
          <w:rFonts w:ascii="Arial" w:hAnsi="Arial" w:cs="Arial"/>
          <w:color w:val="000000"/>
        </w:rPr>
      </w:pPr>
      <w:r>
        <w:rPr>
          <w:rFonts w:ascii="Arial" w:hAnsi="Arial" w:cs="Arial"/>
          <w:color w:val="000000"/>
        </w:rPr>
        <w:t>Autocorrelation test results can be seen in Table 7.</w:t>
      </w:r>
    </w:p>
    <w:p>
      <w:pPr>
        <w:pStyle w:val="12"/>
        <w:autoSpaceDE w:val="0"/>
        <w:autoSpaceDN w:val="0"/>
        <w:adjustRightInd w:val="0"/>
        <w:spacing w:after="0" w:line="240" w:lineRule="auto"/>
        <w:ind w:left="0" w:firstLine="41"/>
        <w:jc w:val="center"/>
        <w:rPr>
          <w:rFonts w:ascii="Arial" w:hAnsi="Arial" w:cs="Arial"/>
          <w:color w:val="000000"/>
        </w:rPr>
      </w:pPr>
      <w:r>
        <w:rPr>
          <w:rFonts w:ascii="Arial" w:hAnsi="Arial" w:eastAsia="Calibri" w:cs="Arial"/>
          <w:color w:val="000000"/>
          <w:sz w:val="22"/>
          <w:szCs w:val="22"/>
          <w:lang w:val="en-US" w:eastAsia="en-US" w:bidi="ar-SA"/>
        </w:rPr>
        <w:pict>
          <v:shape id="Picture 21" o:spid="_x0000_s1034" type="#_x0000_t75" style="height:97.1pt;width:202.6pt;rotation:0f;" o:ole="f" fillcolor="#FFFFFF" filled="f" o:preferrelative="t" stroked="f" coordorigin="0,0" coordsize="21600,21600">
            <v:fill on="f" color2="#FFFFFF" focus="0%"/>
            <v:imagedata gain="65536f" blacklevel="0f" gamma="0" o:title="" r:id="rId14"/>
            <o:lock v:ext="edit" position="f" selection="f" grouping="f" rotation="f" cropping="f" text="f" aspectratio="t"/>
            <w10:wrap type="none"/>
            <w10:anchorlock/>
          </v:shape>
        </w:pic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Based on Table 7, DW value is 2.112, with samples of 91 (n) and the number of independent variables of 4 (k=4) the obtained value du is 1.642 and a value of 4-du amounted to 2.358, therefore it is larger than the value of DW 2.112 upper limit (du) 1.642 and less than 4-du (2.358), it can be concluded that there is no autocorrelation.</w:t>
      </w:r>
    </w:p>
    <w:p>
      <w:pPr>
        <w:spacing w:after="0" w:line="240" w:lineRule="auto"/>
        <w:ind w:firstLine="851"/>
        <w:jc w:val="both"/>
        <w:rPr>
          <w:rFonts w:ascii="Arial" w:hAnsi="Arial" w:cs="Arial"/>
          <w:color w:val="000000"/>
        </w:rPr>
      </w:pPr>
    </w:p>
    <w:p>
      <w:pPr>
        <w:spacing w:after="0" w:line="240" w:lineRule="auto"/>
        <w:ind w:firstLine="41"/>
        <w:jc w:val="center"/>
        <w:rPr>
          <w:rStyle w:val="23"/>
          <w:rFonts w:ascii="Arial" w:hAnsi="Arial" w:cs="Arial"/>
          <w:color w:val="000000"/>
        </w:rPr>
      </w:pPr>
      <w:r>
        <w:rPr>
          <w:rFonts w:ascii="Arial" w:hAnsi="Arial" w:eastAsia="Calibri" w:cs="Arial"/>
          <w:color w:val="000000"/>
          <w:sz w:val="22"/>
          <w:szCs w:val="22"/>
          <w:lang w:val="en-US" w:eastAsia="en-US" w:bidi="ar-SA"/>
        </w:rPr>
        <w:pict>
          <v:shape id="Picture 22" o:spid="_x0000_s1035" type="#_x0000_t75" style="height:151.55pt;width:202.6pt;rotation:0f;" o:ole="f" fillcolor="#FFFFFF" filled="f" o:preferrelative="t" stroked="f" coordorigin="0,0" coordsize="21600,21600">
            <v:fill on="f" color2="#FFFFFF" focus="0%"/>
            <v:imagedata gain="65536f" blacklevel="0f" gamma="0" o:title="" r:id="rId15"/>
            <o:lock v:ext="edit" position="f" selection="f" grouping="f" rotation="f" cropping="f" text="f" aspectratio="t"/>
            <w10:wrap type="none"/>
            <w10:anchorlock/>
          </v:shape>
        </w:pict>
      </w:r>
    </w:p>
    <w:p>
      <w:pPr>
        <w:pStyle w:val="15"/>
        <w:spacing w:before="0" w:beforeAutospacing="0" w:after="0" w:afterAutospacing="0"/>
        <w:ind w:firstLine="426"/>
        <w:jc w:val="both"/>
        <w:rPr>
          <w:rStyle w:val="23"/>
          <w:rFonts w:ascii="Arial" w:hAnsi="Arial" w:eastAsia="Calibri" w:cs="Arial"/>
          <w:color w:val="000000"/>
          <w:sz w:val="22"/>
          <w:szCs w:val="22"/>
          <w:lang/>
        </w:rPr>
      </w:pPr>
      <w:r>
        <w:rPr>
          <w:rStyle w:val="23"/>
          <w:rFonts w:ascii="Arial" w:hAnsi="Arial" w:eastAsia="Calibri" w:cs="Arial"/>
          <w:color w:val="000000"/>
          <w:sz w:val="22"/>
          <w:szCs w:val="22"/>
        </w:rPr>
        <w:t>From the run test result above, it can be seen that the value of the test or Test Value of 0.42551 with a significant probability of 0.246 &gt; 0.05.</w:t>
      </w:r>
      <w:r>
        <w:rPr>
          <w:rStyle w:val="22"/>
          <w:rFonts w:ascii="Arial" w:hAnsi="Arial" w:eastAsia="Calibri" w:cs="Arial"/>
          <w:color w:val="000000"/>
          <w:sz w:val="22"/>
          <w:szCs w:val="22"/>
        </w:rPr>
        <w:t> </w:t>
      </w:r>
      <w:r>
        <w:rPr>
          <w:rStyle w:val="23"/>
          <w:rFonts w:ascii="Arial" w:hAnsi="Arial" w:eastAsia="Calibri" w:cs="Arial"/>
          <w:color w:val="000000"/>
          <w:sz w:val="22"/>
          <w:szCs w:val="22"/>
        </w:rPr>
        <w:t>It can be concluded that there is no autocorrelation in the data of this study.</w:t>
      </w:r>
    </w:p>
    <w:p>
      <w:pPr>
        <w:pStyle w:val="15"/>
        <w:spacing w:before="0" w:beforeAutospacing="0" w:after="0" w:afterAutospacing="0"/>
        <w:ind w:firstLine="426"/>
        <w:jc w:val="both"/>
        <w:rPr>
          <w:rStyle w:val="23"/>
          <w:rFonts w:ascii="Arial" w:hAnsi="Arial" w:eastAsia="Calibri" w:cs="Arial"/>
          <w:color w:val="000000"/>
          <w:sz w:val="22"/>
          <w:szCs w:val="22"/>
          <w:lang/>
        </w:rPr>
      </w:pPr>
    </w:p>
    <w:p>
      <w:pPr>
        <w:spacing w:after="0" w:line="240" w:lineRule="auto"/>
        <w:jc w:val="both"/>
        <w:rPr>
          <w:rFonts w:ascii="Arial" w:hAnsi="Arial" w:cs="Arial"/>
          <w:b/>
          <w:color w:val="000000"/>
        </w:rPr>
      </w:pPr>
      <w:r>
        <w:rPr>
          <w:rFonts w:ascii="Arial" w:hAnsi="Arial" w:cs="Arial"/>
          <w:b/>
          <w:color w:val="000000"/>
        </w:rPr>
        <w:t>Multiple Linear Regression Model</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To determine the influence of independent variables are asset quality, profitability, liquidity, and efficiency as well as capital adequacy as the dependent variable, the researcher used SPSS 16 of table coefficients and generate output that can be seen in Table 9.</w:t>
      </w:r>
    </w:p>
    <w:p>
      <w:pPr>
        <w:autoSpaceDE w:val="0"/>
        <w:autoSpaceDN w:val="0"/>
        <w:adjustRightInd w:val="0"/>
        <w:spacing w:after="0" w:line="240" w:lineRule="auto"/>
        <w:ind w:hanging="49"/>
        <w:jc w:val="both"/>
        <w:rPr>
          <w:rFonts w:ascii="Arial" w:hAnsi="Arial" w:cs="Arial"/>
          <w:color w:val="000000"/>
        </w:rPr>
      </w:pPr>
      <w:r>
        <w:rPr>
          <w:rFonts w:ascii="Arial" w:hAnsi="Arial" w:eastAsia="Calibri" w:cs="Arial"/>
          <w:color w:val="000000"/>
          <w:sz w:val="22"/>
          <w:szCs w:val="22"/>
          <w:lang w:val="en-US" w:eastAsia="en-US" w:bidi="ar-SA"/>
        </w:rPr>
        <w:pict>
          <v:shape id="Picture 23" o:spid="_x0000_s1036" type="#_x0000_t75" style="height:110.5pt;width:207.65pt;rotation:0f;" o:ole="f" fillcolor="#FFFFFF" filled="f" o:preferrelative="t" stroked="f" coordorigin="0,0" coordsize="21600,21600">
            <v:fill on="f" color2="#FFFFFF" focus="0%"/>
            <v:imagedata gain="65536f" blacklevel="0f" gamma="0" o:title="" r:id="rId16"/>
            <o:lock v:ext="edit" position="f" selection="f" grouping="f" rotation="f" cropping="f" text="f" aspectratio="t"/>
            <w10:wrap type="none"/>
            <w10:anchorlock/>
          </v:shape>
        </w:pict>
      </w:r>
    </w:p>
    <w:p>
      <w:pPr>
        <w:spacing w:after="0" w:line="240" w:lineRule="auto"/>
        <w:ind w:firstLine="426"/>
        <w:jc w:val="both"/>
        <w:rPr>
          <w:rFonts w:ascii="Arial" w:hAnsi="Arial" w:cs="Arial"/>
          <w:color w:val="000000"/>
        </w:rPr>
      </w:pPr>
      <w:r>
        <w:rPr>
          <w:rFonts w:ascii="Arial" w:hAnsi="Arial" w:cs="Arial"/>
          <w:color w:val="000000"/>
        </w:rPr>
        <w:t>Based on Table 9 the multiple linear regression equation can be written in the form:</w:t>
      </w:r>
    </w:p>
    <w:p>
      <w:pPr>
        <w:spacing w:before="240" w:after="0" w:line="240" w:lineRule="auto"/>
        <w:ind w:left="709" w:hanging="709"/>
        <w:jc w:val="both"/>
        <w:rPr>
          <w:rFonts w:ascii="Arial" w:hAnsi="Arial" w:cs="Arial"/>
          <w:color w:val="000000"/>
        </w:rPr>
      </w:pPr>
      <w:r>
        <w:rPr>
          <w:rFonts w:ascii="Arial" w:hAnsi="Arial" w:cs="Arial"/>
          <w:color w:val="000000"/>
        </w:rPr>
        <w:t>CA = 13.922 – 0.660 AQ – 0.471 PROF – 0.055 LIQ + 0.091 EFC + €</w:t>
      </w:r>
    </w:p>
    <w:p>
      <w:pPr>
        <w:spacing w:after="0" w:line="240" w:lineRule="auto"/>
        <w:ind w:firstLine="426"/>
        <w:jc w:val="both"/>
        <w:rPr>
          <w:rFonts w:ascii="Arial" w:hAnsi="Arial" w:cs="Arial"/>
          <w:color w:val="000000"/>
        </w:rPr>
      </w:pPr>
      <w:r>
        <w:rPr>
          <w:rFonts w:ascii="Arial" w:hAnsi="Arial" w:cs="Arial"/>
          <w:color w:val="000000"/>
        </w:rPr>
        <w:t>The above equation can be interpreted:</w:t>
      </w:r>
    </w:p>
    <w:p>
      <w:pPr>
        <w:pStyle w:val="12"/>
        <w:numPr>
          <w:ilvl w:val="0"/>
          <w:numId w:val="1"/>
        </w:numPr>
        <w:spacing w:after="0" w:line="240" w:lineRule="auto"/>
        <w:ind w:left="284" w:hanging="284"/>
        <w:jc w:val="both"/>
        <w:rPr>
          <w:rFonts w:ascii="Arial" w:hAnsi="Arial" w:cs="Arial"/>
          <w:color w:val="000000"/>
        </w:rPr>
      </w:pPr>
      <w:r>
        <w:rPr>
          <w:rFonts w:ascii="Arial" w:hAnsi="Arial" w:cs="Arial"/>
          <w:color w:val="000000"/>
        </w:rPr>
        <w:t>Constant at 13.922 indicates without the influence of variables asset quality, profitability, liquidity, and efficiency then average variable capital adequacy amounted to 13.922.</w:t>
      </w:r>
    </w:p>
    <w:p>
      <w:pPr>
        <w:pStyle w:val="12"/>
        <w:numPr>
          <w:ilvl w:val="0"/>
          <w:numId w:val="1"/>
        </w:numPr>
        <w:spacing w:after="0" w:line="240" w:lineRule="auto"/>
        <w:ind w:left="284" w:hanging="284"/>
        <w:jc w:val="both"/>
        <w:rPr>
          <w:rFonts w:ascii="Arial" w:hAnsi="Arial" w:cs="Arial"/>
          <w:color w:val="000000"/>
        </w:rPr>
      </w:pPr>
      <w:r>
        <w:rPr>
          <w:rFonts w:ascii="Arial" w:hAnsi="Arial" w:cs="Arial"/>
          <w:color w:val="000000"/>
        </w:rPr>
        <w:t>The regression coefficient of asset quality of –0.660 shows that any increase in asset quality of 1 unit assuming other variables held constant, capital adequacy will reduce by 0.660.</w:t>
      </w:r>
    </w:p>
    <w:p>
      <w:pPr>
        <w:pStyle w:val="12"/>
        <w:numPr>
          <w:ilvl w:val="0"/>
          <w:numId w:val="1"/>
        </w:numPr>
        <w:spacing w:after="0" w:line="240" w:lineRule="auto"/>
        <w:ind w:left="284" w:hanging="284"/>
        <w:jc w:val="both"/>
        <w:rPr>
          <w:rFonts w:ascii="Arial" w:hAnsi="Arial" w:cs="Arial"/>
          <w:color w:val="000000"/>
        </w:rPr>
      </w:pPr>
      <w:r>
        <w:rPr>
          <w:rFonts w:ascii="Arial" w:hAnsi="Arial" w:cs="Arial"/>
          <w:color w:val="000000"/>
        </w:rPr>
        <w:t>The regression coefficient of profitability of -0.471 shows that any increase in profitability of 1 unit assuming other variables held constant, capital adequacy will reduce by 0.471.</w:t>
      </w:r>
    </w:p>
    <w:p>
      <w:pPr>
        <w:pStyle w:val="12"/>
        <w:numPr>
          <w:ilvl w:val="0"/>
          <w:numId w:val="1"/>
        </w:numPr>
        <w:spacing w:after="0" w:line="240" w:lineRule="auto"/>
        <w:ind w:left="284" w:hanging="284"/>
        <w:jc w:val="both"/>
        <w:rPr>
          <w:rFonts w:ascii="Arial" w:hAnsi="Arial" w:cs="Arial"/>
          <w:color w:val="000000"/>
        </w:rPr>
      </w:pPr>
      <w:r>
        <w:rPr>
          <w:rFonts w:ascii="Arial" w:hAnsi="Arial" w:cs="Arial"/>
          <w:color w:val="000000"/>
        </w:rPr>
        <w:t>The regression coefficient liquidity of -0.055 shows that any increase in liquidity of 1 unit assuming other variables held constant, capital adequacy will reduce by 0.055.</w:t>
      </w:r>
    </w:p>
    <w:p>
      <w:pPr>
        <w:pStyle w:val="12"/>
        <w:numPr>
          <w:ilvl w:val="0"/>
          <w:numId w:val="1"/>
        </w:numPr>
        <w:spacing w:after="0" w:line="240" w:lineRule="auto"/>
        <w:ind w:left="284" w:hanging="284"/>
        <w:jc w:val="both"/>
        <w:rPr>
          <w:rFonts w:ascii="Arial" w:hAnsi="Arial" w:cs="Arial"/>
          <w:color w:val="000000"/>
        </w:rPr>
      </w:pPr>
      <w:r>
        <w:rPr>
          <w:rFonts w:ascii="Arial" w:hAnsi="Arial" w:cs="Arial"/>
          <w:color w:val="000000"/>
        </w:rPr>
        <w:t>The regression coefficient of efficiency of 0.091 shows that any increase in efficiency of 1 unit assuming other variables held constant, it will increase capital adequacy of 0.091.</w:t>
      </w:r>
    </w:p>
    <w:p>
      <w:pPr>
        <w:spacing w:before="240" w:after="0" w:line="240" w:lineRule="auto"/>
        <w:jc w:val="both"/>
        <w:rPr>
          <w:rFonts w:ascii="Arial" w:hAnsi="Arial" w:cs="Arial"/>
          <w:b/>
          <w:color w:val="000000"/>
        </w:rPr>
      </w:pP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Data Analysis Techniques</w:t>
      </w:r>
    </w:p>
    <w:p>
      <w:pPr>
        <w:spacing w:after="0" w:line="240" w:lineRule="auto"/>
        <w:ind w:left="426" w:hanging="425"/>
        <w:jc w:val="both"/>
        <w:rPr>
          <w:rFonts w:ascii="Arial" w:hAnsi="Arial" w:cs="Arial"/>
          <w:b/>
          <w:color w:val="000000"/>
        </w:rPr>
      </w:pPr>
      <w:r>
        <w:rPr>
          <w:rFonts w:ascii="Arial" w:hAnsi="Arial" w:cs="Arial"/>
          <w:b/>
          <w:color w:val="000000"/>
        </w:rPr>
        <w:t>Coefficient of Determination Test (R</w:t>
      </w:r>
      <w:r>
        <w:rPr>
          <w:rFonts w:ascii="Arial" w:hAnsi="Arial" w:cs="Arial"/>
          <w:b/>
          <w:color w:val="000000"/>
          <w:vertAlign w:val="superscript"/>
        </w:rPr>
        <w:t>2</w:t>
      </w:r>
      <w:r>
        <w:rPr>
          <w:rFonts w:ascii="Arial" w:hAnsi="Arial" w:cs="Arial"/>
          <w:b/>
          <w:color w:val="000000"/>
        </w:rPr>
        <w:t>)</w:t>
      </w:r>
    </w:p>
    <w:p>
      <w:pPr>
        <w:spacing w:after="0" w:line="240" w:lineRule="auto"/>
        <w:ind w:firstLine="426"/>
        <w:jc w:val="both"/>
        <w:rPr>
          <w:rFonts w:ascii="Arial" w:hAnsi="Arial" w:cs="Arial"/>
          <w:color w:val="000000"/>
        </w:rPr>
      </w:pPr>
      <w:r>
        <w:rPr>
          <w:rFonts w:ascii="Arial" w:hAnsi="Arial" w:cs="Arial"/>
          <w:color w:val="000000"/>
        </w:rPr>
        <w:t>The results of the analysis of the coefficient of determination can be seen in Table 10.</w:t>
      </w:r>
    </w:p>
    <w:p>
      <w:pPr>
        <w:spacing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Picture 24" o:spid="_x0000_s1037" type="#_x0000_t75" style="height:63.5pt;width:195.9pt;rotation:0f;" o:ole="f" fillcolor="#FFFFFF" filled="f" o:preferrelative="t" stroked="f" coordorigin="0,0" coordsize="21600,21600">
            <v:fill on="f" color2="#FFFFFF" focus="0%"/>
            <v:imagedata gain="65536f" blacklevel="0f" gamma="0" o:title="" r:id="rId17"/>
            <o:lock v:ext="edit" position="f" selection="f" grouping="f" rotation="f" cropping="f" text="f" aspectratio="t"/>
            <w10:wrap type="none"/>
            <w10:anchorlock/>
          </v:shape>
        </w:pict>
      </w:r>
    </w:p>
    <w:p>
      <w:pPr>
        <w:autoSpaceDE w:val="0"/>
        <w:autoSpaceDN w:val="0"/>
        <w:adjustRightInd w:val="0"/>
        <w:spacing w:after="0" w:line="240" w:lineRule="auto"/>
        <w:ind w:firstLine="426"/>
        <w:jc w:val="both"/>
        <w:rPr>
          <w:rFonts w:ascii="Arial" w:hAnsi="Arial" w:cs="Arial"/>
          <w:color w:val="000000"/>
        </w:rPr>
      </w:pP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Based on Table 10 seen that the adjusted R</w:t>
      </w:r>
      <w:r>
        <w:rPr>
          <w:rFonts w:ascii="Arial" w:hAnsi="Arial" w:cs="Arial"/>
          <w:color w:val="000000"/>
          <w:vertAlign w:val="superscript"/>
        </w:rPr>
        <w:t>2</w:t>
      </w:r>
      <w:r>
        <w:rPr>
          <w:rFonts w:ascii="Arial" w:hAnsi="Arial" w:cs="Arial"/>
          <w:color w:val="000000"/>
        </w:rPr>
        <w:t xml:space="preserve"> value of 0.232. This suggests that the variables of asset quality (X</w:t>
      </w:r>
      <w:r>
        <w:rPr>
          <w:rFonts w:ascii="Arial" w:hAnsi="Arial" w:cs="Arial"/>
          <w:color w:val="000000"/>
          <w:vertAlign w:val="subscript"/>
        </w:rPr>
        <w:t>1</w:t>
      </w:r>
      <w:r>
        <w:rPr>
          <w:rFonts w:ascii="Arial" w:hAnsi="Arial" w:cs="Arial"/>
          <w:color w:val="000000"/>
        </w:rPr>
        <w:t>), profitability (X</w:t>
      </w:r>
      <w:r>
        <w:rPr>
          <w:rFonts w:ascii="Arial" w:hAnsi="Arial" w:cs="Arial"/>
          <w:color w:val="000000"/>
          <w:vertAlign w:val="subscript"/>
        </w:rPr>
        <w:t>2</w:t>
      </w:r>
      <w:r>
        <w:rPr>
          <w:rFonts w:ascii="Arial" w:hAnsi="Arial" w:cs="Arial"/>
          <w:color w:val="000000"/>
        </w:rPr>
        <w:t>), liquidity (X</w:t>
      </w:r>
      <w:r>
        <w:rPr>
          <w:rFonts w:ascii="Arial" w:hAnsi="Arial" w:cs="Arial"/>
          <w:color w:val="000000"/>
          <w:vertAlign w:val="subscript"/>
        </w:rPr>
        <w:t>3</w:t>
      </w:r>
      <w:r>
        <w:rPr>
          <w:rFonts w:ascii="Arial" w:hAnsi="Arial" w:cs="Arial"/>
          <w:color w:val="000000"/>
        </w:rPr>
        <w:t>) and efficiency (X</w:t>
      </w:r>
      <w:r>
        <w:rPr>
          <w:rFonts w:ascii="Arial" w:hAnsi="Arial" w:cs="Arial"/>
          <w:color w:val="000000"/>
          <w:vertAlign w:val="subscript"/>
        </w:rPr>
        <w:t>4</w:t>
      </w:r>
      <w:r>
        <w:rPr>
          <w:rFonts w:ascii="Arial" w:hAnsi="Arial" w:cs="Arial"/>
          <w:color w:val="000000"/>
        </w:rPr>
        <w:t>) is able to contribute toward capital adequacy effect (Y) by 23.2 %, while 76.8 % is influenced by other factors not examined in this study.</w:t>
      </w:r>
    </w:p>
    <w:p>
      <w:pPr>
        <w:autoSpaceDE w:val="0"/>
        <w:autoSpaceDN w:val="0"/>
        <w:adjustRightInd w:val="0"/>
        <w:spacing w:after="0" w:line="240" w:lineRule="auto"/>
        <w:jc w:val="both"/>
        <w:rPr>
          <w:rFonts w:ascii="Arial" w:hAnsi="Arial" w:cs="Arial"/>
          <w:color w:val="000000"/>
        </w:rPr>
      </w:pPr>
    </w:p>
    <w:p>
      <w:pPr>
        <w:pStyle w:val="12"/>
        <w:spacing w:after="0" w:line="240" w:lineRule="auto"/>
        <w:ind w:left="0"/>
        <w:jc w:val="both"/>
        <w:rPr>
          <w:rFonts w:ascii="Arial" w:hAnsi="Arial" w:cs="Arial"/>
          <w:b/>
          <w:color w:val="000000"/>
        </w:rPr>
      </w:pPr>
      <w:r>
        <w:rPr>
          <w:rFonts w:ascii="Arial" w:hAnsi="Arial" w:cs="Arial"/>
          <w:b/>
          <w:color w:val="000000"/>
        </w:rPr>
        <w:t>Simultaneous Significance Test (Test Statistic F)</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F test result can be seen in Table 11.</w:t>
      </w:r>
    </w:p>
    <w:p>
      <w:pPr>
        <w:autoSpaceDE w:val="0"/>
        <w:autoSpaceDN w:val="0"/>
        <w:adjustRightInd w:val="0"/>
        <w:spacing w:after="0" w:line="240" w:lineRule="auto"/>
        <w:ind w:hanging="49"/>
        <w:jc w:val="both"/>
        <w:rPr>
          <w:rFonts w:ascii="Arial" w:hAnsi="Arial" w:cs="Arial"/>
          <w:color w:val="000000"/>
        </w:rPr>
      </w:pPr>
      <w:r>
        <w:rPr>
          <w:rFonts w:ascii="Arial" w:hAnsi="Arial" w:eastAsia="Calibri" w:cs="Arial"/>
          <w:color w:val="000000"/>
          <w:sz w:val="22"/>
          <w:szCs w:val="22"/>
          <w:lang w:val="en-US" w:eastAsia="en-US" w:bidi="ar-SA"/>
        </w:rPr>
        <w:pict>
          <v:shape id="Picture 25" o:spid="_x0000_s1038" type="#_x0000_t75" style="height:84.55pt;width:202.6pt;rotation:0f;" o:ole="f" fillcolor="#FFFFFF" filled="f" o:preferrelative="t" stroked="f" coordorigin="0,0" coordsize="21600,21600">
            <v:fill on="f" color2="#FFFFFF" focus="0%"/>
            <v:imagedata gain="65536f" blacklevel="0f" gamma="0" o:title="" r:id="rId18"/>
            <o:lock v:ext="edit" position="f" selection="f" grouping="f" rotation="f" cropping="f" text="f" aspectratio="t"/>
            <w10:wrap type="none"/>
            <w10:anchorlock/>
          </v:shape>
        </w:pic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Based on Table 11 through the F test shows that the value of </w:t>
      </w:r>
      <w:r>
        <w:rPr>
          <w:rFonts w:ascii="Arial" w:hAnsi="Arial" w:eastAsia="Times New Roman" w:cs="Arial"/>
          <w:color w:val="000000"/>
          <w:kern w:val="36"/>
        </w:rPr>
        <w:t>F</w:t>
      </w:r>
      <w:r>
        <w:rPr>
          <w:rFonts w:ascii="Arial" w:hAnsi="Arial" w:eastAsia="Times New Roman" w:cs="Arial"/>
          <w:color w:val="000000"/>
          <w:kern w:val="36"/>
          <w:vertAlign w:val="subscript"/>
        </w:rPr>
        <w:t>count</w:t>
      </w:r>
      <w:r>
        <w:rPr>
          <w:rFonts w:ascii="Arial" w:hAnsi="Arial" w:eastAsia="Times New Roman" w:cs="Arial"/>
          <w:color w:val="000000"/>
          <w:kern w:val="36"/>
        </w:rPr>
        <w:t> = 7.792 &gt; F</w:t>
      </w:r>
      <w:r>
        <w:rPr>
          <w:rFonts w:ascii="Arial" w:hAnsi="Arial" w:eastAsia="Times New Roman" w:cs="Arial"/>
          <w:color w:val="000000"/>
          <w:kern w:val="36"/>
          <w:vertAlign w:val="subscript"/>
        </w:rPr>
        <w:t>table</w:t>
      </w:r>
      <w:r>
        <w:rPr>
          <w:rFonts w:ascii="Arial" w:hAnsi="Arial" w:eastAsia="Times New Roman" w:cs="Arial"/>
          <w:color w:val="000000"/>
          <w:kern w:val="36"/>
        </w:rPr>
        <w:t> = 5.6698 and significance value 0.000 &lt; 0.05</w:t>
      </w:r>
      <w:r>
        <w:rPr>
          <w:rFonts w:ascii="Arial" w:hAnsi="Arial" w:cs="Arial"/>
          <w:color w:val="000000"/>
        </w:rPr>
        <w:t xml:space="preserve">. This shows that the simultaneous variables of </w:t>
      </w:r>
      <w:r>
        <w:rPr>
          <w:rFonts w:ascii="Arial" w:hAnsi="Arial" w:eastAsia="Times New Roman" w:cs="Arial"/>
          <w:color w:val="000000"/>
          <w:kern w:val="36"/>
        </w:rPr>
        <w:t xml:space="preserve">asset quality, profitability, liquidity and efficiency </w:t>
      </w:r>
      <w:r>
        <w:rPr>
          <w:rFonts w:ascii="Arial" w:hAnsi="Arial" w:cs="Arial"/>
          <w:color w:val="000000"/>
        </w:rPr>
        <w:t>significant on the variable capital adequacy.</w:t>
      </w:r>
    </w:p>
    <w:p>
      <w:pPr>
        <w:spacing w:before="240" w:after="0" w:line="240" w:lineRule="auto"/>
        <w:jc w:val="both"/>
        <w:rPr>
          <w:rFonts w:ascii="Arial" w:hAnsi="Arial" w:cs="Arial"/>
          <w:b/>
          <w:color w:val="000000"/>
        </w:rPr>
      </w:pPr>
      <w:r>
        <w:rPr>
          <w:rFonts w:ascii="Arial" w:hAnsi="Arial" w:cs="Arial"/>
          <w:b/>
          <w:color w:val="000000"/>
        </w:rPr>
        <w:t>Individual Parameter Significance test (Test Statistic t)</w:t>
      </w:r>
    </w:p>
    <w:p>
      <w:pPr>
        <w:spacing w:after="0" w:line="240" w:lineRule="auto"/>
        <w:ind w:firstLine="426"/>
        <w:jc w:val="both"/>
        <w:rPr>
          <w:rFonts w:ascii="Arial" w:hAnsi="Arial" w:cs="Arial"/>
          <w:color w:val="000000"/>
        </w:rPr>
      </w:pPr>
      <w:r>
        <w:rPr>
          <w:rFonts w:ascii="Arial" w:hAnsi="Arial" w:cs="Arial"/>
          <w:color w:val="000000"/>
        </w:rPr>
        <w:t>t test results can be seen in Table 12.</w:t>
      </w:r>
    </w:p>
    <w:p>
      <w:pPr>
        <w:spacing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Picture 26" o:spid="_x0000_s1039" type="#_x0000_t75" style="height:83.7pt;width:200.1pt;rotation:0f;" o:ole="f" fillcolor="#FFFFFF" filled="f" o:preferrelative="t" stroked="f" coordorigin="0,0" coordsize="21600,21600">
            <v:fill on="f" color2="#FFFFFF" focus="0%"/>
            <v:imagedata gain="65536f" blacklevel="0f" gamma="0" o:title="" r:id="rId19"/>
            <o:lock v:ext="edit" position="f" selection="f" grouping="f" rotation="f" cropping="f" text="f" aspectratio="t"/>
            <w10:wrap type="none"/>
            <w10:anchorlock/>
          </v:shape>
        </w:pic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Based on Table 12 testing the hypothesis in this study can be seen that:</w:t>
      </w:r>
    </w:p>
    <w:p>
      <w:pPr>
        <w:pStyle w:val="12"/>
        <w:numPr>
          <w:ilvl w:val="0"/>
          <w:numId w:val="2"/>
        </w:numPr>
        <w:spacing w:after="0" w:line="240" w:lineRule="auto"/>
        <w:ind w:left="284" w:hanging="284"/>
        <w:jc w:val="both"/>
        <w:rPr>
          <w:rFonts w:ascii="Arial" w:hAnsi="Arial" w:eastAsia="Times New Roman" w:cs="Arial"/>
          <w:bCs/>
          <w:color w:val="000000"/>
        </w:rPr>
      </w:pPr>
      <w:r>
        <w:rPr>
          <w:rFonts w:ascii="Arial" w:hAnsi="Arial" w:cs="Arial"/>
          <w:color w:val="000000"/>
        </w:rPr>
        <w:t>t</w:t>
      </w:r>
      <w:r>
        <w:rPr>
          <w:rFonts w:ascii="Arial" w:hAnsi="Arial" w:cs="Arial"/>
          <w:color w:val="000000"/>
          <w:vertAlign w:val="subscript"/>
        </w:rPr>
        <w:t>count</w:t>
      </w:r>
      <w:r>
        <w:rPr>
          <w:rFonts w:ascii="Arial" w:hAnsi="Arial" w:cs="Arial"/>
          <w:color w:val="000000"/>
        </w:rPr>
        <w:t xml:space="preserve"> </w:t>
      </w:r>
      <w:r>
        <w:rPr>
          <w:rFonts w:ascii="Arial" w:hAnsi="Arial" w:eastAsia="Times New Roman" w:cs="Arial"/>
          <w:color w:val="000000"/>
        </w:rPr>
        <w:t>-|3.443| is greater than t</w:t>
      </w:r>
      <w:r>
        <w:rPr>
          <w:rFonts w:ascii="Arial" w:hAnsi="Arial" w:eastAsia="Times New Roman" w:cs="Arial"/>
          <w:color w:val="000000"/>
          <w:vertAlign w:val="subscript"/>
        </w:rPr>
        <w:t>table </w:t>
      </w:r>
      <w:r>
        <w:rPr>
          <w:rFonts w:ascii="Arial" w:hAnsi="Arial" w:eastAsia="Times New Roman" w:cs="Arial"/>
          <w:color w:val="000000"/>
        </w:rPr>
        <w:t>= 1.987 </w:t>
      </w:r>
      <w:r>
        <w:rPr>
          <w:rFonts w:ascii="Arial" w:hAnsi="Arial" w:cs="Arial"/>
          <w:color w:val="000000"/>
        </w:rPr>
        <w:t xml:space="preserve">or p = </w:t>
      </w:r>
      <w:r>
        <w:rPr>
          <w:rFonts w:ascii="Arial" w:hAnsi="Arial" w:eastAsia="Times New Roman" w:cs="Arial"/>
          <w:color w:val="000000"/>
        </w:rPr>
        <w:t xml:space="preserve">0.001 &lt; 0.05, it means there is significance </w:t>
      </w:r>
      <w:r>
        <w:rPr>
          <w:rFonts w:ascii="Arial" w:hAnsi="Arial" w:eastAsia="Times New Roman" w:cs="Arial"/>
          <w:color w:val="000000"/>
          <w:kern w:val="36"/>
        </w:rPr>
        <w:t>effect</w:t>
      </w:r>
      <w:r>
        <w:rPr>
          <w:rFonts w:ascii="Arial" w:hAnsi="Arial" w:eastAsia="Times New Roman" w:cs="Arial"/>
          <w:color w:val="000000"/>
        </w:rPr>
        <w:t xml:space="preserve"> between asset quality and capital adequacy. Thus, H</w:t>
      </w:r>
      <w:r>
        <w:rPr>
          <w:rFonts w:ascii="Arial" w:hAnsi="Arial" w:eastAsia="Times New Roman" w:cs="Arial"/>
          <w:color w:val="000000"/>
          <w:vertAlign w:val="subscript"/>
        </w:rPr>
        <w:t>2</w:t>
      </w:r>
      <w:r>
        <w:rPr>
          <w:rFonts w:ascii="Arial" w:hAnsi="Arial" w:eastAsia="Times New Roman" w:cs="Arial"/>
          <w:color w:val="000000"/>
        </w:rPr>
        <w:t xml:space="preserve"> which states "Alleged that asset quality partially has significant effect on the capital adequacy of Sharia Commercial Banks in Indonesia period 2010-2014" is </w:t>
      </w:r>
      <w:r>
        <w:rPr>
          <w:rFonts w:ascii="Arial" w:hAnsi="Arial" w:eastAsia="Times New Roman" w:cs="Arial"/>
          <w:b/>
          <w:bCs/>
          <w:color w:val="000000"/>
        </w:rPr>
        <w:t>accepted</w:t>
      </w:r>
      <w:r>
        <w:rPr>
          <w:rFonts w:ascii="Arial" w:hAnsi="Arial" w:eastAsia="Times New Roman" w:cs="Arial"/>
          <w:bCs/>
          <w:color w:val="000000"/>
        </w:rPr>
        <w:t>.</w:t>
      </w:r>
    </w:p>
    <w:p>
      <w:pPr>
        <w:pStyle w:val="12"/>
        <w:numPr>
          <w:ilvl w:val="0"/>
          <w:numId w:val="2"/>
        </w:numPr>
        <w:spacing w:after="0" w:line="240" w:lineRule="auto"/>
        <w:ind w:left="284" w:hanging="284"/>
        <w:jc w:val="both"/>
        <w:rPr>
          <w:rFonts w:ascii="Arial" w:hAnsi="Arial" w:eastAsia="Times New Roman" w:cs="Arial"/>
          <w:bCs/>
          <w:color w:val="000000"/>
        </w:rPr>
      </w:pPr>
      <w:r>
        <w:rPr>
          <w:rFonts w:ascii="Arial" w:hAnsi="Arial" w:cs="Arial"/>
          <w:color w:val="000000"/>
        </w:rPr>
        <w:t>t</w:t>
      </w:r>
      <w:r>
        <w:rPr>
          <w:rFonts w:ascii="Arial" w:hAnsi="Arial" w:cs="Arial"/>
          <w:color w:val="000000"/>
          <w:vertAlign w:val="subscript"/>
        </w:rPr>
        <w:t>count</w:t>
      </w:r>
      <w:r>
        <w:rPr>
          <w:rFonts w:ascii="Arial" w:hAnsi="Arial" w:cs="Arial"/>
          <w:color w:val="000000"/>
        </w:rPr>
        <w:t xml:space="preserve"> = </w:t>
      </w:r>
      <w:r>
        <w:rPr>
          <w:rFonts w:ascii="Arial" w:hAnsi="Arial" w:eastAsia="Times New Roman" w:cs="Arial"/>
          <w:color w:val="000000"/>
        </w:rPr>
        <w:t>-|1.232| is smaller than t </w:t>
      </w:r>
      <w:r>
        <w:rPr>
          <w:rFonts w:ascii="Arial" w:hAnsi="Arial" w:eastAsia="Times New Roman" w:cs="Arial"/>
          <w:color w:val="000000"/>
          <w:vertAlign w:val="subscript"/>
        </w:rPr>
        <w:t>table </w:t>
      </w:r>
      <w:r>
        <w:rPr>
          <w:rFonts w:ascii="Arial" w:hAnsi="Arial" w:eastAsia="Times New Roman" w:cs="Arial"/>
          <w:color w:val="000000"/>
        </w:rPr>
        <w:t>= 1.987 </w:t>
      </w:r>
      <w:r>
        <w:rPr>
          <w:rFonts w:ascii="Arial" w:hAnsi="Arial" w:cs="Arial"/>
          <w:color w:val="000000"/>
        </w:rPr>
        <w:t xml:space="preserve">or p = </w:t>
      </w:r>
      <w:r>
        <w:rPr>
          <w:rFonts w:ascii="Arial" w:hAnsi="Arial" w:eastAsia="Times New Roman" w:cs="Arial"/>
          <w:color w:val="000000"/>
        </w:rPr>
        <w:t xml:space="preserve">0.221 &gt; 0.05, it means there is significance </w:t>
      </w:r>
      <w:r>
        <w:rPr>
          <w:rFonts w:ascii="Arial" w:hAnsi="Arial" w:eastAsia="Times New Roman" w:cs="Arial"/>
          <w:color w:val="000000"/>
          <w:kern w:val="36"/>
        </w:rPr>
        <w:t>effect</w:t>
      </w:r>
      <w:r>
        <w:rPr>
          <w:rFonts w:ascii="Arial" w:hAnsi="Arial" w:eastAsia="Times New Roman" w:cs="Arial"/>
          <w:color w:val="000000"/>
        </w:rPr>
        <w:t xml:space="preserve"> between profitability and capital adequacy. Thus, the H</w:t>
      </w:r>
      <w:r>
        <w:rPr>
          <w:rFonts w:ascii="Arial" w:hAnsi="Arial" w:eastAsia="Times New Roman" w:cs="Arial"/>
          <w:color w:val="000000"/>
          <w:vertAlign w:val="subscript"/>
        </w:rPr>
        <w:t>3</w:t>
      </w:r>
      <w:r>
        <w:rPr>
          <w:rFonts w:ascii="Arial" w:hAnsi="Arial" w:eastAsia="Times New Roman" w:cs="Arial"/>
          <w:color w:val="000000"/>
        </w:rPr>
        <w:t xml:space="preserve"> which states "Alleged that profitability partially has significant effect on capital adequacy of Sharia Commercial Banks in Indonesia period 2010-2014" is </w:t>
      </w:r>
      <w:r>
        <w:rPr>
          <w:rFonts w:ascii="Arial" w:hAnsi="Arial" w:eastAsia="Times New Roman" w:cs="Arial"/>
          <w:b/>
          <w:color w:val="000000"/>
        </w:rPr>
        <w:t>rejected</w:t>
      </w:r>
      <w:r>
        <w:rPr>
          <w:rFonts w:ascii="Arial" w:hAnsi="Arial" w:eastAsia="Times New Roman" w:cs="Arial"/>
          <w:color w:val="000000"/>
        </w:rPr>
        <w:t>.</w:t>
      </w:r>
    </w:p>
    <w:p>
      <w:pPr>
        <w:pStyle w:val="12"/>
        <w:numPr>
          <w:ilvl w:val="0"/>
          <w:numId w:val="2"/>
        </w:numPr>
        <w:spacing w:after="0" w:line="240" w:lineRule="auto"/>
        <w:ind w:left="284" w:hanging="284"/>
        <w:jc w:val="both"/>
        <w:rPr>
          <w:rFonts w:ascii="Arial" w:hAnsi="Arial" w:eastAsia="Times New Roman" w:cs="Arial"/>
          <w:bCs/>
          <w:color w:val="000000"/>
        </w:rPr>
      </w:pPr>
      <w:r>
        <w:rPr>
          <w:rFonts w:ascii="Arial" w:hAnsi="Arial" w:cs="Arial"/>
          <w:color w:val="000000"/>
        </w:rPr>
        <w:t>t</w:t>
      </w:r>
      <w:r>
        <w:rPr>
          <w:rFonts w:ascii="Arial" w:hAnsi="Arial" w:cs="Arial"/>
          <w:color w:val="000000"/>
          <w:vertAlign w:val="subscript"/>
        </w:rPr>
        <w:t>count</w:t>
      </w:r>
      <w:r>
        <w:rPr>
          <w:rFonts w:ascii="Arial" w:hAnsi="Arial" w:cs="Arial"/>
          <w:color w:val="000000"/>
        </w:rPr>
        <w:t xml:space="preserve"> = </w:t>
      </w:r>
      <w:r>
        <w:rPr>
          <w:rFonts w:ascii="Arial" w:hAnsi="Arial" w:eastAsia="Times New Roman" w:cs="Arial"/>
          <w:color w:val="000000"/>
        </w:rPr>
        <w:t>-|1.840| is smaller than t </w:t>
      </w:r>
      <w:r>
        <w:rPr>
          <w:rFonts w:ascii="Arial" w:hAnsi="Arial" w:eastAsia="Times New Roman" w:cs="Arial"/>
          <w:color w:val="000000"/>
          <w:vertAlign w:val="subscript"/>
        </w:rPr>
        <w:t>table </w:t>
      </w:r>
      <w:r>
        <w:rPr>
          <w:rFonts w:ascii="Arial" w:hAnsi="Arial" w:eastAsia="Times New Roman" w:cs="Arial"/>
          <w:color w:val="000000"/>
        </w:rPr>
        <w:t>= 1.987 </w:t>
      </w:r>
      <w:r>
        <w:rPr>
          <w:rFonts w:ascii="Arial" w:hAnsi="Arial" w:cs="Arial"/>
          <w:color w:val="000000"/>
        </w:rPr>
        <w:t>or p =</w:t>
      </w:r>
      <w:r>
        <w:rPr>
          <w:rFonts w:ascii="Arial" w:hAnsi="Arial" w:eastAsia="Times New Roman" w:cs="Arial"/>
          <w:color w:val="000000"/>
        </w:rPr>
        <w:t xml:space="preserve"> 0.069 &gt; 0.05, it means there is significance </w:t>
      </w:r>
      <w:r>
        <w:rPr>
          <w:rFonts w:ascii="Arial" w:hAnsi="Arial" w:eastAsia="Times New Roman" w:cs="Arial"/>
          <w:color w:val="000000"/>
          <w:kern w:val="36"/>
        </w:rPr>
        <w:t>effect</w:t>
      </w:r>
      <w:r>
        <w:rPr>
          <w:rFonts w:ascii="Arial" w:hAnsi="Arial" w:eastAsia="Times New Roman" w:cs="Arial"/>
          <w:color w:val="000000"/>
        </w:rPr>
        <w:t xml:space="preserve"> between liquidity and capital adequacy. Thus, the H</w:t>
      </w:r>
      <w:r>
        <w:rPr>
          <w:rFonts w:ascii="Arial" w:hAnsi="Arial" w:eastAsia="Times New Roman" w:cs="Arial"/>
          <w:color w:val="000000"/>
          <w:vertAlign w:val="subscript"/>
        </w:rPr>
        <w:t>4</w:t>
      </w:r>
      <w:r>
        <w:rPr>
          <w:rFonts w:ascii="Arial" w:hAnsi="Arial" w:eastAsia="Times New Roman" w:cs="Arial"/>
          <w:color w:val="000000"/>
        </w:rPr>
        <w:t xml:space="preserve"> which states "Alleged that liquidity partially has significant effect on the capital adequacy of Sharia Commercial Banks in Indonesia period 2010-2014" is </w:t>
      </w:r>
      <w:r>
        <w:rPr>
          <w:rFonts w:ascii="Arial" w:hAnsi="Arial" w:eastAsia="Times New Roman" w:cs="Arial"/>
          <w:b/>
          <w:color w:val="000000"/>
        </w:rPr>
        <w:t>rejected</w:t>
      </w:r>
      <w:r>
        <w:rPr>
          <w:rFonts w:ascii="Arial" w:hAnsi="Arial" w:eastAsia="Times New Roman" w:cs="Arial"/>
          <w:color w:val="000000"/>
        </w:rPr>
        <w:t>.</w:t>
      </w:r>
    </w:p>
    <w:p>
      <w:pPr>
        <w:pStyle w:val="12"/>
        <w:numPr>
          <w:ilvl w:val="0"/>
          <w:numId w:val="2"/>
        </w:numPr>
        <w:spacing w:after="0" w:line="240" w:lineRule="auto"/>
        <w:ind w:left="284" w:hanging="284"/>
        <w:jc w:val="both"/>
        <w:rPr>
          <w:rFonts w:ascii="Arial" w:hAnsi="Arial" w:eastAsia="Times New Roman" w:cs="Arial"/>
          <w:bCs/>
          <w:color w:val="000000"/>
        </w:rPr>
      </w:pPr>
      <w:r>
        <w:rPr>
          <w:rFonts w:ascii="Arial" w:hAnsi="Arial" w:cs="Arial"/>
          <w:color w:val="000000"/>
        </w:rPr>
        <w:t>t</w:t>
      </w:r>
      <w:r>
        <w:rPr>
          <w:rFonts w:ascii="Arial" w:hAnsi="Arial" w:cs="Arial"/>
          <w:color w:val="000000"/>
          <w:vertAlign w:val="subscript"/>
        </w:rPr>
        <w:t>count</w:t>
      </w:r>
      <w:r>
        <w:rPr>
          <w:rFonts w:ascii="Arial" w:hAnsi="Arial" w:cs="Arial"/>
          <w:color w:val="000000"/>
        </w:rPr>
        <w:t xml:space="preserve"> = </w:t>
      </w:r>
      <w:r>
        <w:rPr>
          <w:rFonts w:ascii="Arial" w:hAnsi="Arial" w:eastAsia="Times New Roman" w:cs="Arial"/>
          <w:color w:val="000000"/>
        </w:rPr>
        <w:t>2.100 is greater than t</w:t>
      </w:r>
      <w:r>
        <w:rPr>
          <w:rFonts w:ascii="Arial" w:hAnsi="Arial" w:eastAsia="Times New Roman" w:cs="Arial"/>
          <w:color w:val="000000"/>
          <w:vertAlign w:val="subscript"/>
        </w:rPr>
        <w:t>table </w:t>
      </w:r>
      <w:r>
        <w:rPr>
          <w:rFonts w:ascii="Arial" w:hAnsi="Arial" w:eastAsia="Times New Roman" w:cs="Arial"/>
          <w:color w:val="000000"/>
        </w:rPr>
        <w:t>1.987 </w:t>
      </w:r>
      <w:r>
        <w:rPr>
          <w:rFonts w:ascii="Arial" w:hAnsi="Arial" w:cs="Arial"/>
          <w:color w:val="000000"/>
        </w:rPr>
        <w:t xml:space="preserve"> or p = </w:t>
      </w:r>
      <w:r>
        <w:rPr>
          <w:rFonts w:ascii="Arial" w:hAnsi="Arial" w:eastAsia="Times New Roman" w:cs="Arial"/>
          <w:color w:val="000000"/>
        </w:rPr>
        <w:t xml:space="preserve">0.039 &lt; 0.05, it means there is significance </w:t>
      </w:r>
      <w:r>
        <w:rPr>
          <w:rFonts w:ascii="Arial" w:hAnsi="Arial" w:eastAsia="Times New Roman" w:cs="Arial"/>
          <w:color w:val="000000"/>
          <w:kern w:val="36"/>
        </w:rPr>
        <w:t>effect</w:t>
      </w:r>
      <w:r>
        <w:rPr>
          <w:rFonts w:ascii="Arial" w:hAnsi="Arial" w:eastAsia="Times New Roman" w:cs="Arial"/>
          <w:color w:val="000000"/>
        </w:rPr>
        <w:t xml:space="preserve"> between efficiency and capital adequacy. Thus, H</w:t>
      </w:r>
      <w:r>
        <w:rPr>
          <w:rFonts w:ascii="Arial" w:hAnsi="Arial" w:eastAsia="Times New Roman" w:cs="Arial"/>
          <w:color w:val="000000"/>
          <w:vertAlign w:val="subscript"/>
        </w:rPr>
        <w:t>5</w:t>
      </w:r>
      <w:r>
        <w:rPr>
          <w:rFonts w:ascii="Arial" w:hAnsi="Arial" w:eastAsia="Times New Roman" w:cs="Arial"/>
          <w:color w:val="000000"/>
        </w:rPr>
        <w:t xml:space="preserve"> which states "Alleged that efficiency partially has significant effect on the capital adequacy of Sharia Commercial Banks in Indonesia period 2010-2014" is</w:t>
      </w:r>
      <w:r>
        <w:rPr>
          <w:rFonts w:ascii="Arial" w:hAnsi="Arial" w:eastAsia="Times New Roman" w:cs="Arial"/>
          <w:bCs/>
          <w:color w:val="000000"/>
        </w:rPr>
        <w:t xml:space="preserve"> </w:t>
      </w:r>
      <w:r>
        <w:rPr>
          <w:rFonts w:ascii="Arial" w:hAnsi="Arial" w:eastAsia="Times New Roman" w:cs="Arial"/>
          <w:b/>
          <w:bCs/>
          <w:color w:val="000000"/>
        </w:rPr>
        <w:t>accepted</w:t>
      </w:r>
      <w:r>
        <w:rPr>
          <w:rFonts w:ascii="Arial" w:hAnsi="Arial" w:eastAsia="Times New Roman" w:cs="Arial"/>
          <w:bCs/>
          <w:color w:val="000000"/>
        </w:rPr>
        <w:t>.</w:t>
      </w:r>
    </w:p>
    <w:p>
      <w:pPr>
        <w:spacing w:after="0" w:line="240" w:lineRule="auto"/>
        <w:jc w:val="both"/>
        <w:rPr>
          <w:rFonts w:ascii="Arial" w:hAnsi="Arial" w:cs="Arial"/>
          <w:color w:val="000000"/>
        </w:rPr>
      </w:pPr>
    </w:p>
    <w:p>
      <w:pPr>
        <w:pStyle w:val="12"/>
        <w:spacing w:after="0" w:line="240" w:lineRule="auto"/>
        <w:ind w:left="0"/>
        <w:jc w:val="both"/>
        <w:rPr>
          <w:rFonts w:ascii="Arial" w:hAnsi="Arial" w:cs="Arial"/>
          <w:b/>
          <w:color w:val="000000"/>
        </w:rPr>
      </w:pPr>
      <w:r>
        <w:rPr>
          <w:rFonts w:ascii="Arial" w:hAnsi="Arial" w:cs="Arial"/>
          <w:b/>
          <w:color w:val="000000"/>
        </w:rPr>
        <w:t>Discussion</w:t>
      </w:r>
    </w:p>
    <w:p>
      <w:pPr>
        <w:spacing w:after="0" w:line="240" w:lineRule="auto"/>
        <w:jc w:val="both"/>
        <w:rPr>
          <w:rFonts w:ascii="Arial" w:hAnsi="Arial" w:cs="Arial"/>
          <w:b/>
          <w:color w:val="000000"/>
        </w:rPr>
      </w:pPr>
      <w:r>
        <w:rPr>
          <w:rFonts w:ascii="Arial" w:hAnsi="Arial" w:cs="Arial"/>
          <w:b/>
          <w:color w:val="000000"/>
        </w:rPr>
        <w:t xml:space="preserve">Simultaneous </w:t>
      </w:r>
      <w:r>
        <w:rPr>
          <w:rFonts w:ascii="Arial" w:hAnsi="Arial" w:eastAsia="Times New Roman" w:cs="Arial"/>
          <w:b/>
          <w:bCs/>
          <w:color w:val="000000"/>
        </w:rPr>
        <w:t>Effect of Asset Quality, Profitability, Liquidity and Efficiency to Capital Adequacy</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 xml:space="preserve">Based on F test, it is known that the value of of </w:t>
      </w:r>
      <w:r>
        <w:rPr>
          <w:rFonts w:ascii="Arial" w:hAnsi="Arial" w:eastAsia="Times New Roman" w:cs="Arial"/>
          <w:color w:val="000000"/>
          <w:kern w:val="36"/>
        </w:rPr>
        <w:t>F</w:t>
      </w:r>
      <w:r>
        <w:rPr>
          <w:rFonts w:ascii="Arial" w:hAnsi="Arial" w:eastAsia="Times New Roman" w:cs="Arial"/>
          <w:color w:val="000000"/>
          <w:kern w:val="36"/>
          <w:vertAlign w:val="subscript"/>
        </w:rPr>
        <w:t>count</w:t>
      </w:r>
      <w:r>
        <w:rPr>
          <w:rFonts w:ascii="Arial" w:hAnsi="Arial" w:eastAsia="Times New Roman" w:cs="Arial"/>
          <w:color w:val="000000"/>
          <w:kern w:val="36"/>
        </w:rPr>
        <w:t> = 7.792 &gt; F</w:t>
      </w:r>
      <w:r>
        <w:rPr>
          <w:rFonts w:ascii="Arial" w:hAnsi="Arial" w:eastAsia="Times New Roman" w:cs="Arial"/>
          <w:color w:val="000000"/>
          <w:kern w:val="36"/>
          <w:vertAlign w:val="subscript"/>
        </w:rPr>
        <w:t>table</w:t>
      </w:r>
      <w:r>
        <w:rPr>
          <w:rFonts w:ascii="Arial" w:hAnsi="Arial" w:eastAsia="Times New Roman" w:cs="Arial"/>
          <w:color w:val="000000"/>
          <w:kern w:val="36"/>
        </w:rPr>
        <w:t> = 5.6698 and significance value 0.000 &lt; 0.05</w:t>
      </w:r>
      <w:r>
        <w:rPr>
          <w:rFonts w:ascii="Arial" w:hAnsi="Arial" w:cs="Arial"/>
          <w:color w:val="000000"/>
        </w:rPr>
        <w:t xml:space="preserve">. Thus, it can be seen that the variables of </w:t>
      </w:r>
      <w:r>
        <w:rPr>
          <w:rFonts w:ascii="Arial" w:hAnsi="Arial" w:eastAsia="Times New Roman" w:cs="Arial"/>
          <w:color w:val="000000"/>
          <w:kern w:val="36"/>
        </w:rPr>
        <w:t>asset quality, profitability, liquidity, and efficiency</w:t>
      </w:r>
      <w:r>
        <w:rPr>
          <w:rFonts w:ascii="Arial" w:hAnsi="Arial" w:cs="Arial"/>
          <w:color w:val="000000"/>
        </w:rPr>
        <w:t xml:space="preserve"> simultaneously have significant effect toward </w:t>
      </w:r>
      <w:r>
        <w:rPr>
          <w:rFonts w:ascii="Arial" w:hAnsi="Arial" w:eastAsia="Times New Roman" w:cs="Arial"/>
          <w:color w:val="000000"/>
        </w:rPr>
        <w:t>capital adequacy Sharia Commercial Banks in Indonesia period 2010-2014.</w:t>
      </w:r>
    </w:p>
    <w:p>
      <w:pPr>
        <w:pStyle w:val="12"/>
        <w:spacing w:after="0" w:line="240" w:lineRule="auto"/>
        <w:ind w:left="0" w:firstLine="426"/>
        <w:jc w:val="both"/>
        <w:rPr>
          <w:rFonts w:ascii="Arial" w:hAnsi="Arial" w:cs="Arial"/>
          <w:color w:val="000000"/>
        </w:rPr>
      </w:pPr>
      <w:r>
        <w:rPr>
          <w:rFonts w:ascii="Arial" w:hAnsi="Arial" w:cs="Arial"/>
          <w:color w:val="000000"/>
        </w:rPr>
        <w:t xml:space="preserve">The independent variables contribute to explain the dependent variable of 0.232. It also shows that the contribution of the variables of </w:t>
      </w:r>
      <w:r>
        <w:rPr>
          <w:rFonts w:ascii="Arial" w:hAnsi="Arial" w:eastAsia="Times New Roman" w:cs="Arial"/>
          <w:color w:val="000000"/>
          <w:kern w:val="36"/>
        </w:rPr>
        <w:t>asset quality, profitability, liquidity, and efficiency</w:t>
      </w:r>
      <w:r>
        <w:rPr>
          <w:rFonts w:ascii="Arial" w:hAnsi="Arial" w:cs="Arial"/>
          <w:color w:val="000000"/>
        </w:rPr>
        <w:t xml:space="preserve"> in influencing capital adequacy by 23.2 % while the remaining 76.8 % is influenced by other variables that not examined in this study.</w:t>
      </w:r>
    </w:p>
    <w:p>
      <w:pPr>
        <w:pStyle w:val="12"/>
        <w:spacing w:after="0" w:line="240" w:lineRule="auto"/>
        <w:ind w:left="0"/>
        <w:jc w:val="both"/>
        <w:rPr>
          <w:rFonts w:ascii="Arial" w:hAnsi="Arial" w:cs="Arial"/>
          <w:color w:val="000000"/>
        </w:rPr>
      </w:pPr>
    </w:p>
    <w:p>
      <w:pPr>
        <w:pStyle w:val="12"/>
        <w:spacing w:after="0" w:line="240" w:lineRule="auto"/>
        <w:ind w:left="0"/>
        <w:jc w:val="both"/>
        <w:rPr>
          <w:rFonts w:ascii="Arial" w:hAnsi="Arial" w:cs="Arial"/>
          <w:color w:val="000000"/>
        </w:rPr>
      </w:pPr>
      <w:r>
        <w:rPr>
          <w:rFonts w:ascii="Arial" w:hAnsi="Arial" w:cs="Arial"/>
          <w:b/>
          <w:color w:val="000000"/>
        </w:rPr>
        <w:t xml:space="preserve">Partial </w:t>
      </w:r>
      <w:r>
        <w:rPr>
          <w:rFonts w:ascii="Arial" w:hAnsi="Arial" w:eastAsia="Times New Roman" w:cs="Arial"/>
          <w:b/>
          <w:bCs/>
          <w:color w:val="000000"/>
        </w:rPr>
        <w:t>Effect of Asset Quality to Capital Adequacy</w:t>
      </w:r>
    </w:p>
    <w:p>
      <w:pPr>
        <w:spacing w:after="0" w:line="240" w:lineRule="auto"/>
        <w:ind w:firstLine="426"/>
        <w:jc w:val="both"/>
        <w:outlineLvl w:val="0"/>
        <w:rPr>
          <w:rFonts w:ascii="Arial" w:hAnsi="Arial" w:eastAsia="Times New Roman" w:cs="Arial"/>
          <w:color w:val="000000"/>
          <w:kern w:val="36"/>
        </w:rPr>
      </w:pPr>
      <w:r>
        <w:rPr>
          <w:rFonts w:ascii="Arial" w:hAnsi="Arial" w:cs="Arial"/>
          <w:color w:val="000000"/>
        </w:rPr>
        <w:t xml:space="preserve">By t test results, it can be seen that the direction of influence given by the variable of asset quality to capital adequacy is negative. </w:t>
      </w:r>
      <w:r>
        <w:rPr>
          <w:rFonts w:ascii="Arial" w:hAnsi="Arial" w:eastAsia="Times New Roman" w:cs="Arial"/>
          <w:color w:val="000000"/>
          <w:kern w:val="36"/>
        </w:rPr>
        <w:t>The results are consistent with the theory of Muljono (1995) that states the high value of the asset quality may indicate a high risk of losses to be faced by banks due to financing problems. Thus, to cover losses incurred due to financing problems, the bank will take it out of the bank's capital and decrease the capital adequacy proxy through CAR.</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The negative effect indicates that if asset quality increases then capital adequacy will decrease and vice versa. The results of this study reinforce the theory stated by Rose and Hudgins (2009) that the magnitude of the asset quality will lead to the elimination of reserves banks that must establish financing (</w:t>
      </w:r>
      <w:r>
        <w:rPr>
          <w:rFonts w:ascii="Arial" w:hAnsi="Arial" w:eastAsia="Times New Roman" w:cs="Arial"/>
          <w:iCs/>
          <w:color w:val="000000"/>
          <w:kern w:val="36"/>
        </w:rPr>
        <w:t>the provision for loan losses</w:t>
      </w:r>
      <w:r>
        <w:rPr>
          <w:rFonts w:ascii="Arial" w:hAnsi="Arial" w:eastAsia="Times New Roman" w:cs="Arial"/>
          <w:color w:val="000000"/>
          <w:kern w:val="36"/>
        </w:rPr>
        <w:t>), establishment of reserves deletion of this financing will cause a reduction in income which can be used as additional capital, so that the adequacy the need for capital will be reduced.</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The results are also supported by empirical findings of Fitrianto and Mawardi (2006) and Abusharba (2013) which show that the asset quality has significant effect to capital adequacy.</w:t>
      </w:r>
    </w:p>
    <w:p>
      <w:pPr>
        <w:pStyle w:val="12"/>
        <w:spacing w:before="240" w:after="0" w:line="240" w:lineRule="auto"/>
        <w:ind w:left="0"/>
        <w:jc w:val="both"/>
        <w:rPr>
          <w:rFonts w:ascii="Arial" w:hAnsi="Arial" w:cs="Arial"/>
          <w:color w:val="000000"/>
        </w:rPr>
      </w:pPr>
      <w:r>
        <w:rPr>
          <w:rFonts w:ascii="Arial" w:hAnsi="Arial" w:cs="Arial"/>
          <w:b/>
          <w:color w:val="000000"/>
        </w:rPr>
        <w:t xml:space="preserve">Partial </w:t>
      </w:r>
      <w:r>
        <w:rPr>
          <w:rFonts w:ascii="Arial" w:hAnsi="Arial" w:eastAsia="Times New Roman" w:cs="Arial"/>
          <w:b/>
          <w:bCs/>
          <w:color w:val="000000"/>
        </w:rPr>
        <w:t>Effect of Profitability to Capital Adequacy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From the results of the t test showed that profitability has no significance effect toward capital adequacy, this indicates that the intensity of the profitability not contributed to the high and low influences to capital adequacy. This indicates that the magnitude of the bank's ability to produce profits does not affect the bank's equity capital of a bank (Barus, 2011). </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It was initially alleged that the profitability partially has significant effect to capital adequacy of sharia banks. It is based on a theory of Ali (2006) that every time the bank losses, the bank's capital will be reduced in value and vice versa if the bank had a profit then the capital will increase.</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However, the results of this study indicate that the size of profitability does not necessarily lead to the size of the capital adequacy of sharia banks. The existence of sharia banks is relatively new because the profitability of sharia bank value is still fluctuating and unstable so it does not really affect the capital adequacy of sharia banks.</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According to Arifin (2003) based on empirical data for this, the total funds derived from accumulated profits, only 7 % to 8 % of its course to be invested back in the bank. Even in Indonesia, the average amount of capital and reserves held by banks has never exceeded 4 % of total assets. This means that most of the bank's capital comes from the community, other financial institutions and loans from the central bank's liquidity.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Results of this study contradicts the research conducted by Fitrianto and Mawardi (2006), Shitawati (2006) and Abusharba (2013), which came to the conclusion that the ROA has significant effect on capital adequacy. However, the results of this study are consistent with the results of research conducted by Fitriyani (2011), Krishna (2008) and Manullang (2002) which states that the variable profitability partially has no significant effect to capital adequacy.</w:t>
      </w:r>
    </w:p>
    <w:p>
      <w:pPr>
        <w:pStyle w:val="12"/>
        <w:spacing w:after="0" w:line="240" w:lineRule="auto"/>
        <w:ind w:left="0" w:firstLine="284"/>
        <w:jc w:val="both"/>
        <w:rPr>
          <w:rFonts w:ascii="Arial" w:hAnsi="Arial" w:cs="Arial"/>
          <w:b/>
          <w:color w:val="000000"/>
        </w:rPr>
      </w:pPr>
    </w:p>
    <w:p>
      <w:pPr>
        <w:pStyle w:val="12"/>
        <w:spacing w:after="0" w:line="240" w:lineRule="auto"/>
        <w:ind w:left="0"/>
        <w:jc w:val="both"/>
        <w:rPr>
          <w:rFonts w:ascii="Arial" w:hAnsi="Arial" w:cs="Arial"/>
          <w:color w:val="000000"/>
        </w:rPr>
      </w:pPr>
      <w:r>
        <w:rPr>
          <w:rFonts w:ascii="Arial" w:hAnsi="Arial" w:cs="Arial"/>
          <w:b/>
          <w:color w:val="000000"/>
        </w:rPr>
        <w:t xml:space="preserve">Partial </w:t>
      </w:r>
      <w:r>
        <w:rPr>
          <w:rFonts w:ascii="Arial" w:hAnsi="Arial" w:eastAsia="Times New Roman" w:cs="Arial"/>
          <w:b/>
          <w:bCs/>
          <w:color w:val="000000"/>
        </w:rPr>
        <w:t>Effect of Liquidity to Capital Adequacy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From the results of the t test shows that variable liquidity has no significant effect toward capital adequacy, this indicates that the intensity of the liquidity will not contribute to either the high or low influences to capital adequacy.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This contradictive with the theory that the higher liquidity the lower capital adequacy. Negative values ​​are shown liquidity showed that the higher the liquidity showed that the more risky liquidity conditions of banks, conversely the lower the liquidity showed a lack of effectiveness of the bank in lending.</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Abdullah (2003) states that the risky liquidity conditions are shown on the high FDR will result in reduced capital adequacy, because in order to meet its liquidity provision, the bank will take from capital that would result in a reduction in the capital adequacy of banks.</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It was initially alleged that variable liquidity significantly influence the capital adequacy, but the results of this study indicate that liquidity does not significantly effect on capital adequacy. This indicates that the intensity of the liquidity does not contribute to the effect of high and low capital adequacy. This is due to rising interest rates of BI </w:t>
      </w:r>
      <w:r>
        <w:rPr>
          <w:rFonts w:ascii="Arial" w:hAnsi="Arial" w:eastAsia="Times New Roman" w:cs="Arial"/>
          <w:iCs/>
          <w:color w:val="000000"/>
          <w:kern w:val="36"/>
        </w:rPr>
        <w:t>rate</w:t>
      </w:r>
      <w:r>
        <w:rPr>
          <w:rFonts w:ascii="Arial" w:hAnsi="Arial" w:eastAsia="Times New Roman" w:cs="Arial"/>
          <w:color w:val="000000"/>
          <w:kern w:val="36"/>
        </w:rPr>
        <w:t> since June 2013-end of 2014 to respond to the high inflation rate, therefore, sharia banks chose to raise returns for the results of funding to maintain customer loyalty. This resulted in the level of profit that should have been obtained did not occur and has impact on capital of sharia banks because sharia bank has to bear the cost of funds greater than the previous year (tribunnews.com).</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The negative effect shown by liquidity indicated that if liquidity increases then capital adequacy will decrease and vice versa. This is because the amount of financing provided high resulting in the expansion of financing which requires banks to add funds through their own capital to finance the total financing disbursed and meet liquidity.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The results are consistent with research conducted by Shah (2013) and Edginarda (2012), but contradictive with research conducted by Krishna (2008), Shitawati (2006), as well as Fitrianto and Mawardi (2006) which states that the liquidity has significant effect to the capital adequacy.</w:t>
      </w:r>
    </w:p>
    <w:p>
      <w:pPr>
        <w:pStyle w:val="12"/>
        <w:spacing w:after="0" w:line="240" w:lineRule="auto"/>
        <w:ind w:left="0"/>
        <w:jc w:val="both"/>
        <w:rPr>
          <w:rFonts w:ascii="Arial" w:hAnsi="Arial" w:cs="Arial"/>
          <w:b/>
          <w:color w:val="000000"/>
        </w:rPr>
      </w:pPr>
      <w:r>
        <w:rPr>
          <w:rFonts w:ascii="Arial" w:hAnsi="Arial" w:cs="Arial"/>
          <w:b/>
          <w:color w:val="000000"/>
        </w:rPr>
        <w:t xml:space="preserve">Partial </w:t>
      </w:r>
      <w:r>
        <w:rPr>
          <w:rFonts w:ascii="Arial" w:hAnsi="Arial" w:eastAsia="Times New Roman" w:cs="Arial"/>
          <w:b/>
          <w:bCs/>
          <w:color w:val="000000"/>
        </w:rPr>
        <w:t>Effect of Efficiency to Capital Adequacy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 xml:space="preserve">From the results of the t test show that variable efficiency has significant effect to the capital adequacy, this indicates that the intensity of the efficiency will contribute to either the high or low influences to capital adequacy. </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This means that the size of efficiency has effect on capital adequacy. Meanwhile, positive effects demonstrated indicate that, if efficiency increases then capital adequacy will rise and vice versa. It is inversely proportional to the theory that the higher the efficiency, the lower of the capital adequacy. According to Muljono (2001), the smaller the bank's efficiency indicates an increasingly efficient in carrying out its business activities, as operating costs to be borne is smaller than its operating revenue so that the operational activities banks make a profit, where it is able to increase the bank's capital and minimize the risk level is relatively low so efficiency able to increase the capital adequacy.</w:t>
      </w:r>
    </w:p>
    <w:p>
      <w:pPr>
        <w:spacing w:before="100"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Theory suggests a negative influence of efficiency to capital adequacy, whereas the results of this study indicate that efficiency has positive impact on capital adequacy. This is because a high efficiency indicates the inefficiency of banks to generate profits using operational costs, so it can be seen that capital is not used in an attempt to streamline the bank's operating income over operating costs. This is understandable because in carrying out the functions of intermediary banks require high operating costs as well. In addition, the current Sharia Banks in Indonesia are still in the expansion phase of the branch network and thus require a very large cost, including IT networks (Information and Technology) and labor. The costs of this will be covered from operational income of the bank concerned, but if such income is not able to cover the costs incurred in other words, the bank loss, the loss will be absorbed by capital. Thus the bank's management will feel the shortage of capital so that the bank's owners will make additional capital that banks remain open and operating. Capital increase on rising efficiency means will increase the value of capital adequacy.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According to PBI, sharia banks are said to have reasonably good efficiency if the value of OEOI is less than 87 %, while above that the sharia banks are not efficient. On data during the study period showed some sharia banks still have efficiency value of 88% to above, including the efficiency value of Bank Syariah Bukopin between 88 %-100 %. However, this causes an increase in efficiency that also an increase of capital adequacy which should have decreased. Having seen in the financial statements of the bank concerned there is additional capital from the fund capital injection by the owner, resulting in capital adequacy that also rose. In addition, there is also investing subordinated to increase capital so as to increase the capital adequacy.</w:t>
      </w:r>
    </w:p>
    <w:p>
      <w:pPr>
        <w:spacing w:after="0" w:line="240" w:lineRule="auto"/>
        <w:ind w:firstLine="426"/>
        <w:jc w:val="both"/>
        <w:outlineLvl w:val="0"/>
        <w:rPr>
          <w:rFonts w:ascii="Arial" w:hAnsi="Arial" w:eastAsia="Times New Roman" w:cs="Arial"/>
          <w:color w:val="000000"/>
          <w:kern w:val="36"/>
        </w:rPr>
      </w:pPr>
      <w:r>
        <w:rPr>
          <w:rFonts w:ascii="Arial" w:hAnsi="Arial" w:eastAsia="Times New Roman" w:cs="Arial"/>
          <w:color w:val="000000"/>
          <w:kern w:val="36"/>
        </w:rPr>
        <w:t>Results of this study are supported by the empirical results of Shitawati (2006) and Krishna (2008) which states that OEOI has significant effect on capital adequacy. However, it is contrary to research conducted by Abusharba et al (2013) and Firianto and Mawardi (2006) who found that efficiency has no significant effect on capital adequacy.</w:t>
      </w:r>
    </w:p>
    <w:p>
      <w:pPr>
        <w:autoSpaceDE w:val="0"/>
        <w:autoSpaceDN w:val="0"/>
        <w:adjustRightInd w:val="0"/>
        <w:spacing w:after="0" w:line="240" w:lineRule="auto"/>
        <w:jc w:val="both"/>
        <w:rPr>
          <w:rFonts w:ascii="Arial" w:hAnsi="Arial" w:cs="Arial"/>
          <w:b/>
          <w:iCs/>
          <w:color w:val="000000"/>
        </w:rPr>
      </w:pPr>
    </w:p>
    <w:p>
      <w:pPr>
        <w:autoSpaceDE w:val="0"/>
        <w:autoSpaceDN w:val="0"/>
        <w:adjustRightInd w:val="0"/>
        <w:spacing w:after="0" w:line="240" w:lineRule="auto"/>
        <w:jc w:val="both"/>
        <w:rPr>
          <w:rFonts w:ascii="Arial" w:hAnsi="Arial" w:cs="Arial"/>
          <w:b/>
          <w:iCs/>
          <w:color w:val="000000"/>
        </w:rPr>
      </w:pPr>
      <w:r>
        <w:rPr>
          <w:rFonts w:ascii="Arial" w:hAnsi="Arial" w:cs="Arial"/>
          <w:b/>
          <w:iCs/>
          <w:color w:val="000000"/>
        </w:rPr>
        <w:t>CLOSING</w:t>
      </w:r>
    </w:p>
    <w:p>
      <w:pPr>
        <w:autoSpaceDE w:val="0"/>
        <w:autoSpaceDN w:val="0"/>
        <w:adjustRightInd w:val="0"/>
        <w:spacing w:after="0" w:line="240" w:lineRule="auto"/>
        <w:jc w:val="both"/>
        <w:rPr>
          <w:rFonts w:ascii="Arial" w:hAnsi="Arial" w:cs="Arial"/>
          <w:b/>
          <w:iCs/>
          <w:color w:val="000000"/>
        </w:rPr>
      </w:pPr>
      <w:r>
        <w:rPr>
          <w:rFonts w:ascii="Arial" w:hAnsi="Arial" w:cs="Arial"/>
          <w:b/>
          <w:iCs/>
          <w:color w:val="000000"/>
        </w:rPr>
        <w:t>Conclusion</w:t>
      </w:r>
    </w:p>
    <w:p>
      <w:pPr>
        <w:spacing w:after="0" w:line="240" w:lineRule="auto"/>
        <w:ind w:firstLine="426"/>
        <w:jc w:val="both"/>
        <w:rPr>
          <w:rFonts w:ascii="Arial" w:hAnsi="Arial" w:cs="Arial"/>
          <w:color w:val="000000"/>
        </w:rPr>
      </w:pPr>
      <w:r>
        <w:rPr>
          <w:rFonts w:ascii="Arial" w:hAnsi="Arial" w:cs="Arial"/>
          <w:color w:val="000000"/>
        </w:rPr>
        <w:t xml:space="preserve">Based on the results of hypothesis testing and discussion in the previous chapter, it can be concluded as follows: (1) </w:t>
      </w:r>
      <w:r>
        <w:rPr>
          <w:rFonts w:ascii="Arial" w:hAnsi="Arial" w:eastAsia="Times New Roman" w:cs="Arial"/>
          <w:iCs/>
          <w:color w:val="000000"/>
        </w:rPr>
        <w:t>Asset quality, profitability, liquidity, and efficiency</w:t>
      </w:r>
      <w:r>
        <w:rPr>
          <w:rFonts w:ascii="Arial" w:hAnsi="Arial" w:cs="Arial"/>
          <w:color w:val="000000"/>
        </w:rPr>
        <w:t xml:space="preserve"> simultaneously have significant effect toward </w:t>
      </w:r>
      <w:r>
        <w:rPr>
          <w:rFonts w:ascii="Arial" w:hAnsi="Arial" w:eastAsia="Times New Roman" w:cs="Arial"/>
          <w:iCs/>
          <w:color w:val="000000"/>
        </w:rPr>
        <w:t xml:space="preserve">capital adequacy of </w:t>
      </w:r>
      <w:r>
        <w:rPr>
          <w:rFonts w:ascii="Arial" w:hAnsi="Arial" w:eastAsia="Times New Roman" w:cs="Arial"/>
          <w:color w:val="000000"/>
          <w:kern w:val="36"/>
        </w:rPr>
        <w:t>Sharia Commercial Banks in Indonesia period 2010-2014.</w:t>
      </w:r>
      <w:r>
        <w:rPr>
          <w:rFonts w:ascii="Arial" w:hAnsi="Arial" w:cs="Arial"/>
          <w:color w:val="000000"/>
        </w:rPr>
        <w:t xml:space="preserve"> (2) Profitability and liquidity each partially has not significant effect toward </w:t>
      </w:r>
      <w:r>
        <w:rPr>
          <w:rFonts w:ascii="Arial" w:hAnsi="Arial" w:eastAsia="Times New Roman" w:cs="Arial"/>
          <w:iCs/>
          <w:color w:val="000000"/>
        </w:rPr>
        <w:t xml:space="preserve">capital adequacy of </w:t>
      </w:r>
      <w:r>
        <w:rPr>
          <w:rFonts w:ascii="Arial" w:hAnsi="Arial" w:eastAsia="Times New Roman" w:cs="Arial"/>
          <w:color w:val="000000"/>
          <w:kern w:val="36"/>
        </w:rPr>
        <w:t>Sharia Commercial Banks in Indonesia period 2010-2014.</w:t>
      </w:r>
      <w:r>
        <w:rPr>
          <w:rFonts w:ascii="Arial" w:hAnsi="Arial" w:cs="Arial"/>
          <w:color w:val="000000"/>
        </w:rPr>
        <w:t xml:space="preserve"> (3) Asset quality and efficiency each partially has significant effect toward </w:t>
      </w:r>
      <w:r>
        <w:rPr>
          <w:rFonts w:ascii="Arial" w:hAnsi="Arial" w:eastAsia="Times New Roman" w:cs="Arial"/>
          <w:iCs/>
          <w:color w:val="000000"/>
        </w:rPr>
        <w:t xml:space="preserve">capital adequacy of </w:t>
      </w:r>
      <w:r>
        <w:rPr>
          <w:rFonts w:ascii="Arial" w:hAnsi="Arial" w:eastAsia="Times New Roman" w:cs="Arial"/>
          <w:color w:val="000000"/>
          <w:kern w:val="36"/>
        </w:rPr>
        <w:t>Sharia Commercial Banks in Indonesia period 2010-2014.</w:t>
      </w:r>
    </w:p>
    <w:p>
      <w:pPr>
        <w:spacing w:after="0" w:line="240" w:lineRule="auto"/>
        <w:jc w:val="both"/>
        <w:rPr>
          <w:rFonts w:ascii="Arial" w:hAnsi="Arial" w:cs="Arial"/>
          <w:b/>
          <w:color w:val="000000"/>
        </w:rPr>
      </w:pPr>
      <w:r>
        <w:rPr>
          <w:rFonts w:ascii="Arial" w:hAnsi="Arial" w:cs="Arial"/>
          <w:b/>
          <w:color w:val="000000"/>
        </w:rPr>
        <w:t>Limitations of the Study</w:t>
      </w:r>
    </w:p>
    <w:p>
      <w:pPr>
        <w:spacing w:after="0" w:line="240" w:lineRule="auto"/>
        <w:ind w:firstLine="426"/>
        <w:jc w:val="both"/>
        <w:rPr>
          <w:rFonts w:ascii="Arial" w:hAnsi="Arial" w:cs="Arial"/>
          <w:color w:val="000000"/>
        </w:rPr>
      </w:pPr>
      <w:r>
        <w:rPr>
          <w:rFonts w:ascii="Arial" w:hAnsi="Arial" w:cs="Arial"/>
          <w:color w:val="000000"/>
        </w:rPr>
        <w:t xml:space="preserve">In this study, there are some limitations that may affect the results of the study, namely: (1) </w:t>
      </w:r>
      <w:r>
        <w:rPr>
          <w:rFonts w:ascii="Arial" w:hAnsi="Arial" w:eastAsia="Times New Roman" w:cs="Arial"/>
          <w:color w:val="000000"/>
        </w:rPr>
        <w:t xml:space="preserve">Samples used in this study are limited to 5 (five) Sharia Commercial Banks from the total population of 12 (twelve) Sharia Commercial Bank. </w:t>
      </w:r>
      <w:r>
        <w:rPr>
          <w:rFonts w:ascii="Arial" w:hAnsi="Arial" w:cs="Arial"/>
          <w:color w:val="000000"/>
        </w:rPr>
        <w:t xml:space="preserve">(2) </w:t>
      </w:r>
      <w:r>
        <w:rPr>
          <w:rFonts w:ascii="Arial" w:hAnsi="Arial" w:eastAsia="Times New Roman" w:cs="Arial"/>
          <w:color w:val="000000"/>
        </w:rPr>
        <w:t xml:space="preserve">The study period is only 5 (five) years which is 2010-2014. If the period is added it will reduce the sample can be taken because they still lack sharia banks that already have financial statements during the period. </w:t>
      </w:r>
      <w:r>
        <w:rPr>
          <w:rFonts w:ascii="Arial" w:hAnsi="Arial" w:cs="Arial"/>
          <w:color w:val="000000"/>
        </w:rPr>
        <w:t xml:space="preserve">(3) </w:t>
      </w:r>
      <w:r>
        <w:rPr>
          <w:rFonts w:ascii="Arial" w:hAnsi="Arial" w:eastAsia="Times New Roman" w:cs="Arial"/>
          <w:color w:val="000000"/>
        </w:rPr>
        <w:t>This study is limited to use 4 (four) independent variables and 1 (one) dependent variable and result that the Adjusted R</w:t>
      </w:r>
      <w:r>
        <w:rPr>
          <w:rFonts w:ascii="Arial" w:hAnsi="Arial" w:eastAsia="Times New Roman" w:cs="Arial"/>
          <w:color w:val="000000"/>
          <w:vertAlign w:val="superscript"/>
        </w:rPr>
        <w:t>2</w:t>
      </w:r>
      <w:r>
        <w:rPr>
          <w:rFonts w:ascii="Arial" w:hAnsi="Arial" w:eastAsia="Times New Roman" w:cs="Arial"/>
          <w:color w:val="000000"/>
        </w:rPr>
        <w:t xml:space="preserve"> value is small. Thus, it is expected the addition of another independent variable that affects the capital adequacy sharia banks.</w:t>
      </w:r>
    </w:p>
    <w:p>
      <w:pPr>
        <w:spacing w:after="0" w:line="240" w:lineRule="auto"/>
        <w:jc w:val="both"/>
        <w:rPr>
          <w:rFonts w:ascii="Arial" w:hAnsi="Arial" w:eastAsia="Times New Roman" w:cs="Arial"/>
          <w:color w:val="000000"/>
        </w:rPr>
      </w:pPr>
    </w:p>
    <w:p>
      <w:pPr>
        <w:spacing w:after="0" w:line="240" w:lineRule="auto"/>
        <w:jc w:val="both"/>
        <w:rPr>
          <w:rFonts w:ascii="Arial" w:hAnsi="Arial" w:cs="Arial"/>
          <w:b/>
          <w:color w:val="000000"/>
        </w:rPr>
      </w:pPr>
      <w:r>
        <w:rPr>
          <w:rFonts w:ascii="Arial" w:hAnsi="Arial" w:cs="Arial"/>
          <w:b/>
          <w:color w:val="000000"/>
        </w:rPr>
        <w:t>Suggestion</w:t>
      </w:r>
    </w:p>
    <w:p>
      <w:pPr>
        <w:spacing w:after="0" w:line="240" w:lineRule="auto"/>
        <w:ind w:firstLine="426"/>
        <w:jc w:val="both"/>
        <w:rPr>
          <w:rFonts w:ascii="Arial" w:hAnsi="Arial" w:cs="Arial"/>
          <w:color w:val="000000"/>
        </w:rPr>
      </w:pPr>
      <w:r>
        <w:rPr>
          <w:rFonts w:ascii="Arial" w:hAnsi="Arial" w:cs="Arial"/>
          <w:color w:val="000000"/>
        </w:rPr>
        <w:t>Researchers realized that this study still far from perfect. Therefore, researchers gave some suggestions for further research in the same topic as follows:</w:t>
      </w:r>
    </w:p>
    <w:p>
      <w:pPr>
        <w:numPr>
          <w:ilvl w:val="0"/>
          <w:numId w:val="3"/>
        </w:numPr>
        <w:tabs>
          <w:tab w:val="clear" w:pos="720"/>
        </w:tabs>
        <w:spacing w:after="0" w:line="240" w:lineRule="auto"/>
        <w:ind w:left="284" w:hanging="284"/>
        <w:jc w:val="both"/>
        <w:rPr>
          <w:rFonts w:ascii="Arial" w:hAnsi="Arial" w:eastAsia="Times New Roman" w:cs="Arial"/>
          <w:color w:val="000000"/>
        </w:rPr>
      </w:pPr>
      <w:r>
        <w:rPr>
          <w:rFonts w:ascii="Arial" w:hAnsi="Arial" w:eastAsia="Times New Roman" w:cs="Arial"/>
          <w:color w:val="000000"/>
        </w:rPr>
        <w:t>Future studies are expected to add number of samples in order to get the results of the research model that fit</w:t>
      </w:r>
      <w:r>
        <w:rPr>
          <w:rFonts w:ascii="Arial" w:hAnsi="Arial" w:eastAsia="Times New Roman" w:cs="Arial"/>
          <w:i/>
          <w:iCs/>
          <w:color w:val="000000"/>
        </w:rPr>
        <w:t> </w:t>
      </w:r>
      <w:r>
        <w:rPr>
          <w:rFonts w:ascii="Arial" w:hAnsi="Arial" w:eastAsia="Times New Roman" w:cs="Arial"/>
          <w:color w:val="000000"/>
        </w:rPr>
        <w:t>to the analysis of SPSS and also use annual financial statement data rather than quarterly financial statements data.</w:t>
      </w:r>
    </w:p>
    <w:p>
      <w:pPr>
        <w:numPr>
          <w:ilvl w:val="0"/>
          <w:numId w:val="3"/>
        </w:numPr>
        <w:tabs>
          <w:tab w:val="clear" w:pos="720"/>
        </w:tabs>
        <w:spacing w:after="0" w:line="240" w:lineRule="auto"/>
        <w:ind w:left="284" w:hanging="284"/>
        <w:jc w:val="both"/>
        <w:rPr>
          <w:rFonts w:ascii="Arial" w:hAnsi="Arial" w:eastAsia="Times New Roman" w:cs="Arial"/>
          <w:color w:val="000000"/>
        </w:rPr>
      </w:pPr>
      <w:r>
        <w:rPr>
          <w:rFonts w:ascii="Arial" w:hAnsi="Arial" w:eastAsia="Times New Roman" w:cs="Arial"/>
          <w:color w:val="000000"/>
        </w:rPr>
        <w:t>It is hoped that in future studies to modify the model of research so that more knowledge gained.</w:t>
      </w:r>
    </w:p>
    <w:p>
      <w:pPr>
        <w:numPr>
          <w:ilvl w:val="0"/>
          <w:numId w:val="3"/>
        </w:numPr>
        <w:tabs>
          <w:tab w:val="clear" w:pos="720"/>
        </w:tabs>
        <w:spacing w:after="0" w:line="240" w:lineRule="auto"/>
        <w:ind w:left="284" w:hanging="284"/>
        <w:jc w:val="both"/>
        <w:rPr>
          <w:rFonts w:ascii="Arial" w:hAnsi="Arial" w:eastAsia="Times New Roman" w:cs="Arial"/>
          <w:color w:val="000000"/>
        </w:rPr>
      </w:pPr>
      <w:r>
        <w:rPr>
          <w:rFonts w:ascii="Arial" w:hAnsi="Arial" w:eastAsia="Times New Roman" w:cs="Arial"/>
          <w:color w:val="000000"/>
        </w:rPr>
        <w:t>With predictive capability of 23.2 % shown in the value of </w:t>
      </w:r>
      <w:r>
        <w:rPr>
          <w:rFonts w:ascii="Arial" w:hAnsi="Arial" w:eastAsia="Times New Roman" w:cs="Arial"/>
          <w:iCs/>
          <w:color w:val="000000"/>
        </w:rPr>
        <w:t>Adjusted</w:t>
      </w:r>
      <w:r>
        <w:rPr>
          <w:rFonts w:ascii="Arial" w:hAnsi="Arial" w:eastAsia="Times New Roman" w:cs="Arial"/>
          <w:i/>
          <w:iCs/>
          <w:color w:val="000000"/>
        </w:rPr>
        <w:t> </w:t>
      </w:r>
      <w:r>
        <w:rPr>
          <w:rFonts w:ascii="Arial" w:hAnsi="Arial" w:eastAsia="Times New Roman" w:cs="Arial"/>
          <w:color w:val="000000"/>
        </w:rPr>
        <w:t>R</w:t>
      </w:r>
      <w:r>
        <w:rPr>
          <w:rFonts w:ascii="Arial" w:hAnsi="Arial" w:eastAsia="Times New Roman" w:cs="Arial"/>
          <w:color w:val="000000"/>
          <w:vertAlign w:val="superscript"/>
        </w:rPr>
        <w:t>2 </w:t>
      </w:r>
      <w:r>
        <w:rPr>
          <w:rFonts w:ascii="Arial" w:hAnsi="Arial" w:eastAsia="Times New Roman" w:cs="Arial"/>
          <w:color w:val="000000"/>
        </w:rPr>
        <w:t>indicates the need for addition of other factors that can be used as independent variables affecting capital adequacy.</w:t>
      </w:r>
    </w:p>
    <w:p>
      <w:pPr>
        <w:numPr>
          <w:ilvl w:val="0"/>
          <w:numId w:val="3"/>
        </w:numPr>
        <w:tabs>
          <w:tab w:val="clear" w:pos="720"/>
        </w:tabs>
        <w:spacing w:after="0" w:line="240" w:lineRule="auto"/>
        <w:ind w:left="284" w:hanging="284"/>
        <w:jc w:val="both"/>
        <w:rPr>
          <w:rFonts w:ascii="Arial" w:hAnsi="Arial" w:eastAsia="Times New Roman" w:cs="Arial"/>
          <w:color w:val="000000"/>
        </w:rPr>
      </w:pPr>
      <w:r>
        <w:rPr>
          <w:rFonts w:ascii="Arial" w:hAnsi="Arial" w:eastAsia="Times New Roman" w:cs="Arial"/>
          <w:color w:val="000000"/>
        </w:rPr>
        <w:t>Sharia banks should further enhance their intermediary functions as the dealer and depositors as prescribed by Bank Indonesia. The level of liquidity must be maintained within safe limits but still consider the principles of distribution of funding according to the procedure that has been determined.</w:t>
      </w:r>
    </w:p>
    <w:p>
      <w:pPr>
        <w:numPr>
          <w:ilvl w:val="0"/>
          <w:numId w:val="3"/>
        </w:numPr>
        <w:tabs>
          <w:tab w:val="clear" w:pos="720"/>
        </w:tabs>
        <w:spacing w:after="0" w:line="240" w:lineRule="auto"/>
        <w:ind w:left="284" w:hanging="284"/>
        <w:jc w:val="both"/>
        <w:rPr>
          <w:rFonts w:ascii="Arial" w:hAnsi="Arial" w:eastAsia="Times New Roman" w:cs="Arial"/>
          <w:color w:val="000000"/>
        </w:rPr>
      </w:pPr>
      <w:r>
        <w:rPr>
          <w:rFonts w:ascii="Arial" w:hAnsi="Arial" w:eastAsia="Times New Roman" w:cs="Arial"/>
          <w:color w:val="000000"/>
        </w:rPr>
        <w:t>Sharia banks should improve the quality of productive assets so as to minimize the risk of loss and be able to increase the level of profitability that will impact on the rise in the level of capital adequacy.</w:t>
      </w:r>
    </w:p>
    <w:p>
      <w:pPr>
        <w:spacing w:before="240" w:line="240" w:lineRule="auto"/>
        <w:rPr>
          <w:rFonts w:ascii="Arial" w:hAnsi="Arial" w:cs="Arial"/>
          <w:b/>
          <w:color w:val="000000"/>
        </w:rPr>
      </w:pPr>
      <w:r>
        <w:rPr>
          <w:rFonts w:ascii="Arial" w:hAnsi="Arial" w:cs="Arial"/>
          <w:b/>
          <w:color w:val="000000"/>
        </w:rPr>
        <w:t>BIBLIOGRAPHY</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Abdullah, M. Faisal. 2003. </w:t>
      </w:r>
      <w:r>
        <w:rPr>
          <w:rFonts w:ascii="Arial" w:hAnsi="Arial" w:cs="Arial"/>
          <w:b/>
          <w:i/>
          <w:color w:val="000000"/>
          <w:sz w:val="20"/>
          <w:szCs w:val="20"/>
        </w:rPr>
        <w:t>Manajemen Perbankan (Teknik Analisis Kinerja Keuangan Bank).</w:t>
      </w:r>
      <w:r>
        <w:rPr>
          <w:rFonts w:ascii="Arial" w:hAnsi="Arial" w:cs="Arial"/>
          <w:color w:val="000000"/>
          <w:sz w:val="20"/>
          <w:szCs w:val="20"/>
        </w:rPr>
        <w:t xml:space="preserve"> Malang: Universitas Muhammadiyah Malang (UMM) Press.</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Abdullah, M. Faisal. 2005. </w:t>
      </w:r>
      <w:r>
        <w:rPr>
          <w:rFonts w:ascii="Arial" w:hAnsi="Arial" w:cs="Arial"/>
          <w:b/>
          <w:i/>
          <w:color w:val="000000"/>
          <w:sz w:val="20"/>
          <w:szCs w:val="20"/>
        </w:rPr>
        <w:t>Dasar-Dasar Manajemen Perbankan</w:t>
      </w:r>
      <w:r>
        <w:rPr>
          <w:rFonts w:ascii="Arial" w:hAnsi="Arial" w:cs="Arial"/>
          <w:color w:val="000000"/>
          <w:sz w:val="20"/>
          <w:szCs w:val="20"/>
        </w:rPr>
        <w:t>. Malang: UMM Press.</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Abdullah, Thamrin dan Francis Tantri. 2012. </w:t>
      </w:r>
      <w:r>
        <w:rPr>
          <w:rFonts w:ascii="Arial" w:hAnsi="Arial" w:cs="Arial"/>
          <w:b/>
          <w:i/>
          <w:color w:val="000000"/>
          <w:sz w:val="20"/>
          <w:szCs w:val="20"/>
        </w:rPr>
        <w:t>Manajemen Pemasaran</w:t>
      </w:r>
      <w:r>
        <w:rPr>
          <w:rFonts w:ascii="Arial" w:hAnsi="Arial" w:cs="Arial"/>
          <w:color w:val="000000"/>
          <w:sz w:val="20"/>
          <w:szCs w:val="20"/>
        </w:rPr>
        <w:t>. Jakarta: PT Raja Grafindo Persada.</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Abusharba, Mohammed T., Iwan Triyuwono, Munawar Ismail dan Aulia F. Rahman. 2013. Determinants of Capital Adequacy Ratio (CAR) in Indonesian Islamic Commercial Banks. </w:t>
      </w:r>
      <w:r>
        <w:rPr>
          <w:rFonts w:ascii="Arial" w:hAnsi="Arial" w:cs="Arial"/>
          <w:b/>
          <w:bCs/>
          <w:i/>
          <w:iCs/>
          <w:color w:val="000000"/>
          <w:sz w:val="20"/>
          <w:szCs w:val="20"/>
        </w:rPr>
        <w:t>Global Review of Accounting and Finance</w:t>
      </w:r>
      <w:r>
        <w:rPr>
          <w:rFonts w:ascii="Arial" w:hAnsi="Arial" w:cs="Arial"/>
          <w:color w:val="000000"/>
          <w:sz w:val="20"/>
          <w:szCs w:val="20"/>
        </w:rPr>
        <w:t>. Vol. 4. No. 1.</w:t>
      </w:r>
    </w:p>
    <w:p>
      <w:pPr>
        <w:tabs>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Ahmad, Rubi, M. Ariff and Michael J. Skully. 2008. The Determinant of Bank Capital Ratios in a Developing Economy. </w:t>
      </w:r>
      <w:r>
        <w:rPr>
          <w:rFonts w:ascii="Arial" w:hAnsi="Arial" w:cs="Arial"/>
          <w:b/>
          <w:i/>
          <w:iCs/>
          <w:color w:val="000000"/>
          <w:sz w:val="20"/>
          <w:szCs w:val="20"/>
        </w:rPr>
        <w:t>Asia-Pasific Financial Markets</w:t>
      </w:r>
      <w:r>
        <w:rPr>
          <w:rFonts w:ascii="Arial" w:hAnsi="Arial" w:cs="Arial"/>
          <w:color w:val="000000"/>
          <w:sz w:val="20"/>
          <w:szCs w:val="20"/>
        </w:rPr>
        <w:t xml:space="preserve">. Vol. 15. </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Ali, Masyhud. 2006. </w:t>
      </w:r>
      <w:r>
        <w:rPr>
          <w:rFonts w:ascii="Arial" w:hAnsi="Arial" w:cs="Arial"/>
          <w:b/>
          <w:i/>
          <w:iCs/>
          <w:color w:val="000000"/>
          <w:sz w:val="20"/>
          <w:szCs w:val="20"/>
        </w:rPr>
        <w:t>Manajemen Risiko: Strategi Perbankan dan Dunia Usaha Menghadapi Tantangan Globalisasi Bisnis</w:t>
      </w:r>
      <w:r>
        <w:rPr>
          <w:rFonts w:ascii="Arial" w:hAnsi="Arial" w:cs="Arial"/>
          <w:b/>
          <w:color w:val="000000"/>
          <w:sz w:val="20"/>
          <w:szCs w:val="20"/>
        </w:rPr>
        <w:t xml:space="preserve">. </w:t>
      </w:r>
      <w:r>
        <w:rPr>
          <w:rFonts w:ascii="Arial" w:hAnsi="Arial" w:cs="Arial"/>
          <w:color w:val="000000"/>
          <w:sz w:val="20"/>
          <w:szCs w:val="20"/>
        </w:rPr>
        <w:t>Jakarta: PT Raja Grafindo Persada.</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Barus, Andreani Caroline. 2011. Analisis Profitabilitas dan Likuiditas Terhadap Capital Adequacy Ratio Pada Institusi Perbankan Terbuka di Bursa Efek Indonesia. </w:t>
      </w:r>
      <w:r>
        <w:rPr>
          <w:rFonts w:ascii="Arial" w:hAnsi="Arial" w:cs="Arial"/>
          <w:b/>
          <w:i/>
          <w:color w:val="000000"/>
          <w:sz w:val="20"/>
          <w:szCs w:val="20"/>
        </w:rPr>
        <w:t>Jurnal Wira Ekonomi Mikroskil.</w:t>
      </w:r>
      <w:r>
        <w:rPr>
          <w:rFonts w:ascii="Arial" w:hAnsi="Arial" w:cs="Arial"/>
          <w:color w:val="000000"/>
          <w:sz w:val="20"/>
          <w:szCs w:val="20"/>
        </w:rPr>
        <w:t xml:space="preserve"> Vol. 1. No. 1.</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Brinkmann, E. J, and Horvitz, P. M. 1995. Risk-based Capital Standards and the Credit Crunch. </w:t>
      </w:r>
      <w:r>
        <w:rPr>
          <w:rFonts w:ascii="Arial" w:hAnsi="Arial" w:cs="Arial"/>
          <w:b/>
          <w:i/>
          <w:iCs/>
          <w:color w:val="000000"/>
          <w:sz w:val="20"/>
          <w:szCs w:val="20"/>
        </w:rPr>
        <w:t>Journal of Money, Credit and Banking</w:t>
      </w:r>
      <w:r>
        <w:rPr>
          <w:rFonts w:ascii="Arial" w:hAnsi="Arial" w:cs="Arial"/>
          <w:b/>
          <w:color w:val="000000"/>
          <w:sz w:val="20"/>
          <w:szCs w:val="20"/>
        </w:rPr>
        <w:t xml:space="preserve">. </w:t>
      </w:r>
      <w:r>
        <w:rPr>
          <w:rFonts w:ascii="Arial" w:hAnsi="Arial" w:cs="Arial"/>
          <w:color w:val="000000"/>
          <w:sz w:val="20"/>
          <w:szCs w:val="20"/>
        </w:rPr>
        <w:t>Vol. 27. No. 3.</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Buyuksalvarci, Ahmet dan Hasan Abdioglu. 2011. Determinants of Capital Adequacy Ratio in Turkish Banks: A Panel Data Analysis. </w:t>
      </w:r>
      <w:r>
        <w:rPr>
          <w:rFonts w:ascii="Arial" w:hAnsi="Arial" w:cs="Arial"/>
          <w:b/>
          <w:bCs/>
          <w:i/>
          <w:iCs/>
          <w:color w:val="000000"/>
          <w:sz w:val="20"/>
          <w:szCs w:val="20"/>
        </w:rPr>
        <w:t>African Journal of Business Management</w:t>
      </w:r>
      <w:r>
        <w:rPr>
          <w:rFonts w:ascii="Arial" w:hAnsi="Arial" w:cs="Arial"/>
          <w:color w:val="000000"/>
          <w:sz w:val="20"/>
          <w:szCs w:val="20"/>
        </w:rPr>
        <w:t>. Vol. 5. No. 27.</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Darmawi, Hermawan. 2011. </w:t>
      </w:r>
      <w:r>
        <w:rPr>
          <w:rFonts w:ascii="Arial" w:hAnsi="Arial" w:cs="Arial"/>
          <w:b/>
          <w:i/>
          <w:color w:val="000000"/>
          <w:sz w:val="20"/>
          <w:szCs w:val="20"/>
        </w:rPr>
        <w:t>Manajemen Perbankan</w:t>
      </w:r>
      <w:r>
        <w:rPr>
          <w:rFonts w:ascii="Arial" w:hAnsi="Arial" w:cs="Arial"/>
          <w:color w:val="000000"/>
          <w:sz w:val="20"/>
          <w:szCs w:val="20"/>
        </w:rPr>
        <w:t xml:space="preserve">. Jakarta: Bumi Aksara. </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De Bondt, G. J, and Prast H. M. 2000. Bank Capital Ratios in the 1990s: Cross-country evidence. </w:t>
      </w:r>
      <w:r>
        <w:rPr>
          <w:rFonts w:ascii="Arial" w:hAnsi="Arial" w:cs="Arial"/>
          <w:b/>
          <w:i/>
          <w:iCs/>
          <w:color w:val="000000"/>
          <w:sz w:val="20"/>
          <w:szCs w:val="20"/>
        </w:rPr>
        <w:t>Banca Nazionale del Lavoro Quarterly Review</w:t>
      </w:r>
      <w:r>
        <w:rPr>
          <w:rFonts w:ascii="Arial" w:hAnsi="Arial" w:cs="Arial"/>
          <w:i/>
          <w:iCs/>
          <w:color w:val="000000"/>
          <w:sz w:val="20"/>
          <w:szCs w:val="20"/>
        </w:rPr>
        <w:t xml:space="preserve">. </w:t>
      </w:r>
      <w:r>
        <w:rPr>
          <w:rFonts w:ascii="Arial" w:hAnsi="Arial" w:cs="Arial"/>
          <w:iCs/>
          <w:color w:val="000000"/>
          <w:sz w:val="20"/>
          <w:szCs w:val="20"/>
        </w:rPr>
        <w:t xml:space="preserve">Vol. </w:t>
      </w:r>
      <w:r>
        <w:rPr>
          <w:rFonts w:ascii="Arial" w:hAnsi="Arial" w:cs="Arial"/>
          <w:color w:val="000000"/>
          <w:sz w:val="20"/>
          <w:szCs w:val="20"/>
        </w:rPr>
        <w:t>53 No. 212.</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Dendawijaya, Lukman. 2009. </w:t>
      </w:r>
      <w:r>
        <w:rPr>
          <w:rFonts w:ascii="Arial" w:hAnsi="Arial" w:cs="Arial"/>
          <w:b/>
          <w:i/>
          <w:iCs/>
          <w:color w:val="000000"/>
          <w:sz w:val="20"/>
          <w:szCs w:val="20"/>
        </w:rPr>
        <w:t>Manajemen Perbankan</w:t>
      </w:r>
      <w:r>
        <w:rPr>
          <w:rFonts w:ascii="Arial" w:hAnsi="Arial" w:cs="Arial"/>
          <w:b/>
          <w:color w:val="000000"/>
          <w:sz w:val="20"/>
          <w:szCs w:val="20"/>
        </w:rPr>
        <w:t>.</w:t>
      </w:r>
      <w:r>
        <w:rPr>
          <w:rFonts w:ascii="Arial" w:hAnsi="Arial" w:cs="Arial"/>
          <w:color w:val="000000"/>
          <w:sz w:val="20"/>
          <w:szCs w:val="20"/>
        </w:rPr>
        <w:t xml:space="preserve"> Jakarta: Ghalia Indonesia. </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Fitrianto, Hendra dan Wisnu Mawardi. 2006. Analisis Pengaruh Kualitas Aset, Likuiditas, Rentabilitas dan Efisiensi Terhadap Rasio Kecukupan Modal Perbankan Yang Terdafar Di Bursa Efek Jakarta. </w:t>
      </w:r>
      <w:r>
        <w:rPr>
          <w:rFonts w:ascii="Arial" w:hAnsi="Arial" w:cs="Arial"/>
          <w:b/>
          <w:i/>
          <w:color w:val="000000"/>
          <w:sz w:val="20"/>
          <w:szCs w:val="20"/>
        </w:rPr>
        <w:t>Jurnal Studi Manajemen &amp; Organisasi</w:t>
      </w:r>
      <w:r>
        <w:rPr>
          <w:rFonts w:ascii="Arial" w:hAnsi="Arial" w:cs="Arial"/>
          <w:color w:val="000000"/>
          <w:sz w:val="20"/>
          <w:szCs w:val="20"/>
        </w:rPr>
        <w:t xml:space="preserve">. Vol. 3. No. 1. </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Fitriyani, Mena. 2011. Faktor-Faktor yang Mempengaruhi </w:t>
      </w:r>
      <w:r>
        <w:rPr>
          <w:rFonts w:ascii="Arial" w:hAnsi="Arial" w:cs="Arial"/>
          <w:i/>
          <w:iCs/>
          <w:color w:val="000000"/>
          <w:sz w:val="20"/>
          <w:szCs w:val="20"/>
        </w:rPr>
        <w:t xml:space="preserve">Capital Adequacy Ratio </w:t>
      </w:r>
      <w:r>
        <w:rPr>
          <w:rFonts w:ascii="Arial" w:hAnsi="Arial" w:cs="Arial"/>
          <w:color w:val="000000"/>
          <w:sz w:val="20"/>
          <w:szCs w:val="20"/>
        </w:rPr>
        <w:t xml:space="preserve">Pada Bank Umum Syariah di Indonesia Periode 2006-2009. </w:t>
      </w:r>
      <w:r>
        <w:rPr>
          <w:rFonts w:ascii="Arial" w:hAnsi="Arial" w:cs="Arial"/>
          <w:b/>
          <w:bCs/>
          <w:i/>
          <w:iCs/>
          <w:color w:val="000000"/>
          <w:sz w:val="20"/>
          <w:szCs w:val="20"/>
        </w:rPr>
        <w:t>Skripsi</w:t>
      </w:r>
      <w:r>
        <w:rPr>
          <w:rFonts w:ascii="Arial" w:hAnsi="Arial" w:cs="Arial"/>
          <w:b/>
          <w:bCs/>
          <w:color w:val="000000"/>
          <w:sz w:val="20"/>
          <w:szCs w:val="20"/>
        </w:rPr>
        <w:t>.</w:t>
      </w:r>
      <w:r>
        <w:rPr>
          <w:rFonts w:ascii="Arial" w:hAnsi="Arial" w:cs="Arial"/>
          <w:i/>
          <w:iCs/>
          <w:color w:val="000000"/>
          <w:sz w:val="20"/>
          <w:szCs w:val="20"/>
        </w:rPr>
        <w:t xml:space="preserve"> </w:t>
      </w:r>
      <w:r>
        <w:rPr>
          <w:rFonts w:ascii="Arial" w:hAnsi="Arial" w:cs="Arial"/>
          <w:color w:val="000000"/>
          <w:sz w:val="20"/>
          <w:szCs w:val="20"/>
        </w:rPr>
        <w:t>Yogyakarta: UIN Sunan Kalijaga.</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Ghozali, Imam. 2007. </w:t>
      </w:r>
      <w:r>
        <w:rPr>
          <w:rFonts w:ascii="Arial" w:hAnsi="Arial" w:cs="Arial"/>
          <w:b/>
          <w:bCs/>
          <w:i/>
          <w:color w:val="000000"/>
          <w:sz w:val="20"/>
          <w:szCs w:val="20"/>
        </w:rPr>
        <w:t>Aplikasi Analisis Multivariate Dengan Program SPSS</w:t>
      </w:r>
      <w:r>
        <w:rPr>
          <w:rFonts w:ascii="Arial" w:hAnsi="Arial" w:cs="Arial"/>
          <w:i/>
          <w:color w:val="000000"/>
          <w:sz w:val="20"/>
          <w:szCs w:val="20"/>
        </w:rPr>
        <w:t>.</w:t>
      </w:r>
      <w:r>
        <w:rPr>
          <w:rFonts w:ascii="Arial" w:hAnsi="Arial" w:cs="Arial"/>
          <w:color w:val="000000"/>
          <w:sz w:val="20"/>
          <w:szCs w:val="20"/>
        </w:rPr>
        <w:t xml:space="preserve"> Edisi 4. Semarang: Badan Penerbit Universitas Diponegoro.</w:t>
      </w:r>
    </w:p>
    <w:p>
      <w:pPr>
        <w:autoSpaceDE w:val="0"/>
        <w:autoSpaceDN w:val="0"/>
        <w:adjustRightInd w:val="0"/>
        <w:spacing w:after="120" w:line="240" w:lineRule="auto"/>
        <w:ind w:left="426" w:hanging="426"/>
        <w:jc w:val="both"/>
        <w:rPr>
          <w:rFonts w:ascii="Arial" w:hAnsi="Arial" w:cs="Arial"/>
          <w:b/>
          <w:bCs/>
          <w:i/>
          <w:iCs/>
          <w:color w:val="000000"/>
          <w:sz w:val="20"/>
          <w:szCs w:val="20"/>
        </w:rPr>
      </w:pPr>
      <w:r>
        <w:rPr>
          <w:rFonts w:ascii="Arial" w:hAnsi="Arial" w:cs="Arial"/>
          <w:color w:val="000000"/>
          <w:sz w:val="20"/>
          <w:szCs w:val="20"/>
        </w:rPr>
        <w:t xml:space="preserve">______. 2013. </w:t>
      </w:r>
      <w:r>
        <w:rPr>
          <w:rFonts w:ascii="Arial" w:hAnsi="Arial" w:cs="Arial"/>
          <w:b/>
          <w:i/>
          <w:iCs/>
          <w:color w:val="000000"/>
          <w:sz w:val="20"/>
          <w:szCs w:val="20"/>
        </w:rPr>
        <w:t xml:space="preserve">Analisis Multivariat dan Ekonometrika. </w:t>
      </w:r>
      <w:r>
        <w:rPr>
          <w:rFonts w:ascii="Arial" w:hAnsi="Arial" w:cs="Arial"/>
          <w:color w:val="000000"/>
          <w:sz w:val="20"/>
          <w:szCs w:val="20"/>
        </w:rPr>
        <w:t>Semarang: Badan Penerbit Universitas Diponegoro.</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Gonzales, F. 2003. </w:t>
      </w:r>
      <w:r>
        <w:rPr>
          <w:rFonts w:ascii="Arial" w:hAnsi="Arial" w:cs="Arial"/>
          <w:b/>
          <w:i/>
          <w:color w:val="000000"/>
          <w:sz w:val="20"/>
          <w:szCs w:val="20"/>
        </w:rPr>
        <w:t>Bank Regulation and Risk Taking Incentive: An International Comparison of Bank Risk.</w:t>
      </w:r>
      <w:r>
        <w:rPr>
          <w:rFonts w:ascii="Arial" w:hAnsi="Arial" w:cs="Arial"/>
          <w:color w:val="000000"/>
          <w:sz w:val="20"/>
          <w:szCs w:val="20"/>
        </w:rPr>
        <w:t xml:space="preserve"> Oviedo: Avenida del Cristo. </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Gujarati, Damodar dan Sumarno Zain. 1999. </w:t>
      </w:r>
      <w:r>
        <w:rPr>
          <w:rFonts w:ascii="Arial" w:hAnsi="Arial" w:cs="Arial"/>
          <w:b/>
          <w:bCs/>
          <w:i/>
          <w:color w:val="000000"/>
          <w:sz w:val="20"/>
          <w:szCs w:val="20"/>
        </w:rPr>
        <w:t>Ekonometrika Dasar</w:t>
      </w:r>
      <w:r>
        <w:rPr>
          <w:rFonts w:ascii="Arial" w:hAnsi="Arial" w:cs="Arial"/>
          <w:color w:val="000000"/>
          <w:sz w:val="20"/>
          <w:szCs w:val="20"/>
        </w:rPr>
        <w:t>. Jakarta: Erlangga.</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Gujarati, Damodar. 2003. </w:t>
      </w:r>
      <w:r>
        <w:rPr>
          <w:rFonts w:ascii="Arial" w:hAnsi="Arial" w:cs="Arial"/>
          <w:b/>
          <w:i/>
          <w:color w:val="000000"/>
          <w:sz w:val="20"/>
          <w:szCs w:val="20"/>
        </w:rPr>
        <w:t>Ekonometrika Dasar.</w:t>
      </w:r>
      <w:r>
        <w:rPr>
          <w:rFonts w:ascii="Arial" w:hAnsi="Arial" w:cs="Arial"/>
          <w:color w:val="000000"/>
          <w:sz w:val="20"/>
          <w:szCs w:val="20"/>
        </w:rPr>
        <w:t xml:space="preserve"> Jakarta: Erlangga.</w:t>
      </w:r>
    </w:p>
    <w:p>
      <w:pPr>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Hair, J. F. Jr, R. E. Anderson, R. L. Tatham, and W. C. Black. 1998. </w:t>
      </w:r>
      <w:r>
        <w:rPr>
          <w:rFonts w:ascii="Arial" w:hAnsi="Arial" w:cs="Arial"/>
          <w:b/>
          <w:i/>
          <w:color w:val="000000"/>
          <w:sz w:val="20"/>
          <w:szCs w:val="20"/>
        </w:rPr>
        <w:t>Multivariate Data Analysis</w:t>
      </w:r>
      <w:r>
        <w:rPr>
          <w:rFonts w:ascii="Arial" w:hAnsi="Arial" w:cs="Arial"/>
          <w:i/>
          <w:color w:val="000000"/>
          <w:sz w:val="20"/>
          <w:szCs w:val="20"/>
        </w:rPr>
        <w:t xml:space="preserve">. </w:t>
      </w:r>
      <w:r>
        <w:rPr>
          <w:rFonts w:ascii="Arial" w:hAnsi="Arial" w:cs="Arial"/>
          <w:color w:val="000000"/>
          <w:sz w:val="20"/>
          <w:szCs w:val="20"/>
        </w:rPr>
        <w:t>New Jersey: Person Education.</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Hasibuan, Malayu S. P. 2006. </w:t>
      </w:r>
      <w:r>
        <w:rPr>
          <w:rFonts w:ascii="Arial" w:hAnsi="Arial" w:cs="Arial"/>
          <w:b/>
          <w:i/>
          <w:iCs/>
          <w:color w:val="000000"/>
          <w:sz w:val="20"/>
          <w:szCs w:val="20"/>
        </w:rPr>
        <w:t>Dasar-Dasar Perbankan</w:t>
      </w:r>
      <w:r>
        <w:rPr>
          <w:rFonts w:ascii="Arial" w:hAnsi="Arial" w:cs="Arial"/>
          <w:b/>
          <w:color w:val="000000"/>
          <w:sz w:val="20"/>
          <w:szCs w:val="20"/>
        </w:rPr>
        <w:t>.</w:t>
      </w:r>
      <w:r>
        <w:rPr>
          <w:rFonts w:ascii="Arial" w:hAnsi="Arial" w:cs="Arial"/>
          <w:color w:val="000000"/>
          <w:sz w:val="20"/>
          <w:szCs w:val="20"/>
        </w:rPr>
        <w:t xml:space="preserve"> Jakarta: PT Bumi Aksara. </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Idroes, Ferry N. 2008. </w:t>
      </w:r>
      <w:r>
        <w:rPr>
          <w:rFonts w:ascii="Arial" w:hAnsi="Arial" w:cs="Arial"/>
          <w:b/>
          <w:i/>
          <w:iCs/>
          <w:color w:val="000000"/>
          <w:sz w:val="20"/>
          <w:szCs w:val="20"/>
        </w:rPr>
        <w:t>Manajemen Risiko Perbankan, Pemahaman Pendekatan 3 Pilar Kesepakatan Basel II Terkait Aplikasi Regulasi dan Pelaksanaannya di Indonesia</w:t>
      </w:r>
      <w:r>
        <w:rPr>
          <w:rFonts w:ascii="Arial" w:hAnsi="Arial" w:cs="Arial"/>
          <w:b/>
          <w:i/>
          <w:color w:val="000000"/>
          <w:sz w:val="20"/>
          <w:szCs w:val="20"/>
        </w:rPr>
        <w:t>.</w:t>
      </w:r>
      <w:r>
        <w:rPr>
          <w:rFonts w:ascii="Arial" w:hAnsi="Arial" w:cs="Arial"/>
          <w:color w:val="000000"/>
          <w:sz w:val="20"/>
          <w:szCs w:val="20"/>
        </w:rPr>
        <w:t xml:space="preserve"> Jakarta: PT. Raja Grafindo Persada.</w:t>
      </w:r>
    </w:p>
    <w:p>
      <w:pPr>
        <w:tabs>
          <w:tab w:val="left" w:pos="3415"/>
        </w:tabs>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Indriantoro, Nur dan Bambang Supomo. 2002. </w:t>
      </w:r>
      <w:r>
        <w:rPr>
          <w:rFonts w:ascii="Arial" w:hAnsi="Arial" w:cs="Arial"/>
          <w:b/>
          <w:i/>
          <w:color w:val="000000"/>
          <w:sz w:val="20"/>
          <w:szCs w:val="20"/>
        </w:rPr>
        <w:t>Metodologi Penelitian Bisnis Untuk Akuntansi dan Manajemen</w:t>
      </w:r>
      <w:r>
        <w:rPr>
          <w:rFonts w:ascii="Arial" w:hAnsi="Arial" w:cs="Arial"/>
          <w:color w:val="000000"/>
          <w:sz w:val="20"/>
          <w:szCs w:val="20"/>
        </w:rPr>
        <w:t>.Yogyakarta: BPFE.</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Jogiyanto. 2004. </w:t>
      </w:r>
      <w:r>
        <w:rPr>
          <w:rFonts w:ascii="Arial" w:hAnsi="Arial" w:cs="Arial"/>
          <w:b/>
          <w:i/>
          <w:iCs/>
          <w:color w:val="000000"/>
          <w:sz w:val="20"/>
          <w:szCs w:val="20"/>
        </w:rPr>
        <w:t>Metodologi Penelitian Bisnis.</w:t>
      </w:r>
      <w:r>
        <w:rPr>
          <w:rFonts w:ascii="Arial" w:hAnsi="Arial" w:cs="Arial"/>
          <w:color w:val="000000"/>
          <w:sz w:val="20"/>
          <w:szCs w:val="20"/>
        </w:rPr>
        <w:t xml:space="preserve"> Yogyakarta: BPFE.</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Kasmir. 2008. </w:t>
      </w:r>
      <w:r>
        <w:rPr>
          <w:rFonts w:ascii="Arial" w:hAnsi="Arial" w:cs="Arial"/>
          <w:b/>
          <w:i/>
          <w:color w:val="000000"/>
          <w:sz w:val="20"/>
          <w:szCs w:val="20"/>
        </w:rPr>
        <w:t>Bank dan Lembaga Keuangan Lainnya.</w:t>
      </w:r>
      <w:r>
        <w:rPr>
          <w:rFonts w:ascii="Arial" w:hAnsi="Arial" w:cs="Arial"/>
          <w:color w:val="000000"/>
          <w:sz w:val="20"/>
          <w:szCs w:val="20"/>
        </w:rPr>
        <w:t xml:space="preserve"> Jakarta: PT Rajagrafindo Persada.</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______. 2011. </w:t>
      </w:r>
      <w:r>
        <w:rPr>
          <w:rFonts w:ascii="Arial" w:hAnsi="Arial" w:cs="Arial"/>
          <w:b/>
          <w:i/>
          <w:color w:val="000000"/>
          <w:sz w:val="20"/>
          <w:szCs w:val="20"/>
        </w:rPr>
        <w:t xml:space="preserve">Analisis Laporan Keuangan. </w:t>
      </w:r>
      <w:r>
        <w:rPr>
          <w:rFonts w:ascii="Arial" w:hAnsi="Arial" w:cs="Arial"/>
          <w:color w:val="000000"/>
          <w:sz w:val="20"/>
          <w:szCs w:val="20"/>
        </w:rPr>
        <w:t>Jakarta: PT Rajagrafindo Persada.</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Krisna, Yansen. 2008. Faktor-Faktor yang Mempengaruhi Capital Adequacy Ratio. </w:t>
      </w:r>
      <w:r>
        <w:rPr>
          <w:rFonts w:ascii="Arial" w:hAnsi="Arial" w:cs="Arial"/>
          <w:b/>
          <w:bCs/>
          <w:i/>
          <w:iCs/>
          <w:color w:val="000000"/>
          <w:sz w:val="20"/>
          <w:szCs w:val="20"/>
        </w:rPr>
        <w:t>Tesis</w:t>
      </w:r>
      <w:r>
        <w:rPr>
          <w:rFonts w:ascii="Arial" w:hAnsi="Arial" w:cs="Arial"/>
          <w:color w:val="000000"/>
          <w:sz w:val="20"/>
          <w:szCs w:val="20"/>
        </w:rPr>
        <w:t>. Universitas Diponegoro.</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Kuncoro, Mudrajad dan Suhardjono. 2002. </w:t>
      </w:r>
      <w:r>
        <w:rPr>
          <w:rFonts w:ascii="Arial" w:hAnsi="Arial" w:cs="Arial"/>
          <w:b/>
          <w:i/>
          <w:iCs/>
          <w:color w:val="000000"/>
          <w:sz w:val="20"/>
          <w:szCs w:val="20"/>
        </w:rPr>
        <w:t>Manajemen Perbankan Teori dan Aplikasi.</w:t>
      </w:r>
      <w:r>
        <w:rPr>
          <w:rFonts w:ascii="Arial" w:hAnsi="Arial" w:cs="Arial"/>
          <w:i/>
          <w:iCs/>
          <w:color w:val="000000"/>
          <w:sz w:val="20"/>
          <w:szCs w:val="20"/>
        </w:rPr>
        <w:t xml:space="preserve"> </w:t>
      </w:r>
      <w:r>
        <w:rPr>
          <w:rFonts w:ascii="Arial" w:hAnsi="Arial" w:cs="Arial"/>
          <w:color w:val="000000"/>
          <w:sz w:val="20"/>
          <w:szCs w:val="20"/>
        </w:rPr>
        <w:t>Edisi Pertama. Yogyakarta: BPFE.</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Lambert, R. A. 2001. Contracting Theory and Accounting. </w:t>
      </w:r>
      <w:r>
        <w:rPr>
          <w:rFonts w:ascii="Arial" w:hAnsi="Arial" w:cs="Arial"/>
          <w:b/>
          <w:i/>
          <w:color w:val="000000"/>
          <w:sz w:val="20"/>
          <w:szCs w:val="20"/>
        </w:rPr>
        <w:t>Journal of Accounting and Economics</w:t>
      </w:r>
      <w:r>
        <w:rPr>
          <w:rFonts w:ascii="Arial" w:hAnsi="Arial" w:cs="Arial"/>
          <w:color w:val="000000"/>
          <w:sz w:val="20"/>
          <w:szCs w:val="20"/>
        </w:rPr>
        <w:t>. Vol. 32. No. 3.</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Manullang, Laurence A. 2002. Analisis Pengaruh Rentabilitas Terhadap Rasio Kecukupan Modal Pada Bank Tabungan Pensiunan Nasional. </w:t>
      </w:r>
      <w:r>
        <w:rPr>
          <w:rFonts w:ascii="Arial" w:hAnsi="Arial" w:cs="Arial"/>
          <w:b/>
          <w:bCs/>
          <w:i/>
          <w:color w:val="000000"/>
          <w:sz w:val="20"/>
          <w:szCs w:val="20"/>
        </w:rPr>
        <w:t>Media Riset Bisnis dan Manajemen</w:t>
      </w:r>
      <w:r>
        <w:rPr>
          <w:rFonts w:ascii="Arial" w:hAnsi="Arial" w:cs="Arial"/>
          <w:color w:val="000000"/>
          <w:sz w:val="20"/>
          <w:szCs w:val="20"/>
        </w:rPr>
        <w:t>. Vol. 2. No. 1.</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Margaretha, Farah dan Diana Setyaningrum. 2011. Pengaruh Risiko, Kualitas Manajemen, Ukuran dan Likuiditas Terhadap </w:t>
      </w:r>
      <w:r>
        <w:rPr>
          <w:rFonts w:ascii="Arial" w:hAnsi="Arial" w:cs="Arial"/>
          <w:i/>
          <w:color w:val="000000"/>
          <w:sz w:val="20"/>
          <w:szCs w:val="20"/>
        </w:rPr>
        <w:t>Capital Adequacy Ratio</w:t>
      </w:r>
      <w:r>
        <w:rPr>
          <w:rFonts w:ascii="Arial" w:hAnsi="Arial" w:cs="Arial"/>
          <w:color w:val="000000"/>
          <w:sz w:val="20"/>
          <w:szCs w:val="20"/>
        </w:rPr>
        <w:t xml:space="preserve"> Bank-Bank Yang Terdaftar Di Bursa Efek Indonesia. </w:t>
      </w:r>
      <w:r>
        <w:rPr>
          <w:rFonts w:ascii="Arial" w:hAnsi="Arial" w:cs="Arial"/>
          <w:b/>
          <w:i/>
          <w:color w:val="000000"/>
          <w:sz w:val="20"/>
          <w:szCs w:val="20"/>
        </w:rPr>
        <w:t>Jurnal Akuntansi Dan Keuangan</w:t>
      </w:r>
      <w:r>
        <w:rPr>
          <w:rFonts w:ascii="Arial" w:hAnsi="Arial" w:cs="Arial"/>
          <w:color w:val="000000"/>
          <w:sz w:val="20"/>
          <w:szCs w:val="20"/>
        </w:rPr>
        <w:t xml:space="preserve">. Vol. 13. No. 1. </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Marzuki. 2000. </w:t>
      </w:r>
      <w:r>
        <w:rPr>
          <w:rFonts w:ascii="Arial" w:hAnsi="Arial" w:cs="Arial"/>
          <w:b/>
          <w:i/>
          <w:color w:val="000000"/>
          <w:sz w:val="20"/>
          <w:szCs w:val="20"/>
        </w:rPr>
        <w:t>Metodologi Riset.</w:t>
      </w:r>
      <w:r>
        <w:rPr>
          <w:rFonts w:ascii="Arial" w:hAnsi="Arial" w:cs="Arial"/>
          <w:color w:val="000000"/>
          <w:sz w:val="20"/>
          <w:szCs w:val="20"/>
        </w:rPr>
        <w:t xml:space="preserve"> Yogyakarta: BPFE.</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Merkusiwati. 2007. </w:t>
      </w:r>
      <w:r>
        <w:rPr>
          <w:rFonts w:ascii="Arial" w:hAnsi="Arial" w:cs="Arial"/>
          <w:b/>
          <w:i/>
          <w:iCs/>
          <w:color w:val="000000"/>
          <w:sz w:val="20"/>
          <w:szCs w:val="20"/>
        </w:rPr>
        <w:t>Evaluasi Pengaruh Camel Terhadap Kinerja Perusahaan</w:t>
      </w:r>
      <w:r>
        <w:rPr>
          <w:rFonts w:ascii="Arial" w:hAnsi="Arial" w:cs="Arial"/>
          <w:color w:val="000000"/>
          <w:sz w:val="20"/>
          <w:szCs w:val="20"/>
        </w:rPr>
        <w:t>. Kajian Studi Ekonomi. Vol. 12. No. 1.</w:t>
      </w:r>
    </w:p>
    <w:p>
      <w:pPr>
        <w:autoSpaceDE w:val="0"/>
        <w:autoSpaceDN w:val="0"/>
        <w:adjustRightInd w:val="0"/>
        <w:spacing w:after="120" w:line="240" w:lineRule="auto"/>
        <w:ind w:left="426" w:hanging="426"/>
        <w:jc w:val="both"/>
        <w:rPr>
          <w:rFonts w:ascii="Arial" w:hAnsi="Arial" w:cs="Arial"/>
          <w:i/>
          <w:iCs/>
          <w:color w:val="000000"/>
          <w:sz w:val="20"/>
          <w:szCs w:val="20"/>
        </w:rPr>
      </w:pPr>
      <w:r>
        <w:rPr>
          <w:rFonts w:ascii="Arial" w:hAnsi="Arial" w:cs="Arial"/>
          <w:color w:val="000000"/>
          <w:sz w:val="20"/>
          <w:szCs w:val="20"/>
        </w:rPr>
        <w:t xml:space="preserve">Muhammad. 2005. </w:t>
      </w:r>
      <w:r>
        <w:rPr>
          <w:rFonts w:ascii="Arial" w:hAnsi="Arial" w:cs="Arial"/>
          <w:b/>
          <w:i/>
          <w:color w:val="000000"/>
          <w:sz w:val="20"/>
          <w:szCs w:val="20"/>
        </w:rPr>
        <w:t>Manajemen Dana Bank Syariah.</w:t>
      </w:r>
      <w:r>
        <w:rPr>
          <w:rFonts w:ascii="Arial" w:hAnsi="Arial" w:cs="Arial"/>
          <w:color w:val="000000"/>
          <w:sz w:val="20"/>
          <w:szCs w:val="20"/>
        </w:rPr>
        <w:t xml:space="preserve"> Yogyakarta: Ekonisia.</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Muljono, Teguh P. 1999. </w:t>
      </w:r>
      <w:r>
        <w:rPr>
          <w:rFonts w:ascii="Arial" w:hAnsi="Arial" w:cs="Arial"/>
          <w:b/>
          <w:i/>
          <w:iCs/>
          <w:color w:val="000000"/>
          <w:sz w:val="20"/>
          <w:szCs w:val="20"/>
        </w:rPr>
        <w:t xml:space="preserve">Analisa Laporan Keuangan Untuk Perbankan. </w:t>
      </w:r>
      <w:r>
        <w:rPr>
          <w:rFonts w:ascii="Arial" w:hAnsi="Arial" w:cs="Arial"/>
          <w:iCs/>
          <w:color w:val="000000"/>
          <w:sz w:val="20"/>
          <w:szCs w:val="20"/>
        </w:rPr>
        <w:t>Jakarta:</w:t>
      </w:r>
      <w:r>
        <w:rPr>
          <w:rFonts w:ascii="Arial" w:hAnsi="Arial" w:cs="Arial"/>
          <w:i/>
          <w:iCs/>
          <w:color w:val="000000"/>
          <w:sz w:val="20"/>
          <w:szCs w:val="20"/>
        </w:rPr>
        <w:t xml:space="preserve"> </w:t>
      </w:r>
      <w:r>
        <w:rPr>
          <w:rFonts w:ascii="Arial" w:hAnsi="Arial" w:cs="Arial"/>
          <w:color w:val="000000"/>
          <w:sz w:val="20"/>
          <w:szCs w:val="20"/>
        </w:rPr>
        <w:t>Djambatan.</w:t>
      </w:r>
    </w:p>
    <w:p>
      <w:pPr>
        <w:autoSpaceDE w:val="0"/>
        <w:autoSpaceDN w:val="0"/>
        <w:adjustRightInd w:val="0"/>
        <w:spacing w:after="120" w:line="240" w:lineRule="auto"/>
        <w:ind w:left="426" w:hanging="426"/>
        <w:jc w:val="both"/>
        <w:rPr>
          <w:rFonts w:ascii="Arial" w:hAnsi="Arial" w:cs="Arial"/>
          <w:i/>
          <w:iCs/>
          <w:color w:val="000000"/>
          <w:sz w:val="20"/>
          <w:szCs w:val="20"/>
        </w:rPr>
      </w:pPr>
      <w:r>
        <w:rPr>
          <w:rFonts w:ascii="Arial" w:hAnsi="Arial" w:cs="Arial"/>
          <w:color w:val="000000"/>
          <w:sz w:val="20"/>
          <w:szCs w:val="20"/>
        </w:rPr>
        <w:t xml:space="preserve">______. 2001. </w:t>
      </w:r>
      <w:r>
        <w:rPr>
          <w:rFonts w:ascii="Arial" w:hAnsi="Arial" w:cs="Arial"/>
          <w:b/>
          <w:i/>
          <w:color w:val="000000"/>
          <w:sz w:val="20"/>
          <w:szCs w:val="20"/>
        </w:rPr>
        <w:t>Manajemen Perkreditan Bagi Bank Komersil.</w:t>
      </w:r>
      <w:r>
        <w:rPr>
          <w:rFonts w:ascii="Arial" w:hAnsi="Arial" w:cs="Arial"/>
          <w:color w:val="000000"/>
          <w:sz w:val="20"/>
          <w:szCs w:val="20"/>
        </w:rPr>
        <w:t xml:space="preserve"> Yogyakarta: BPFE.</w:t>
      </w:r>
    </w:p>
    <w:p>
      <w:pPr>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Myers, S. 1984. The Capital Structure Puzzle. </w:t>
      </w:r>
      <w:r>
        <w:rPr>
          <w:rFonts w:ascii="Arial" w:hAnsi="Arial" w:cs="Arial"/>
          <w:b/>
          <w:bCs/>
          <w:i/>
          <w:color w:val="000000"/>
          <w:sz w:val="20"/>
          <w:szCs w:val="20"/>
        </w:rPr>
        <w:t>Jurnal Keuangan</w:t>
      </w:r>
      <w:r>
        <w:rPr>
          <w:rFonts w:ascii="Arial" w:hAnsi="Arial" w:cs="Arial"/>
          <w:color w:val="000000"/>
          <w:sz w:val="20"/>
          <w:szCs w:val="20"/>
        </w:rPr>
        <w:t>. Vol. 39.</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Peraturan Bank Indonesia No. 3/21/2001 tentang Kewajiban Penyediaan Modal Minimum Bagi Bank Umum.</w:t>
      </w:r>
    </w:p>
    <w:p>
      <w:pPr>
        <w:tabs>
          <w:tab w:val="left" w:pos="360"/>
        </w:tabs>
        <w:autoSpaceDE w:val="0"/>
        <w:autoSpaceDN w:val="0"/>
        <w:adjustRightInd w:val="0"/>
        <w:spacing w:after="120" w:line="240" w:lineRule="auto"/>
        <w:ind w:left="426" w:hanging="426"/>
        <w:jc w:val="both"/>
        <w:rPr>
          <w:rFonts w:ascii="Arial" w:hAnsi="Arial" w:cs="Arial"/>
          <w:b/>
          <w:bCs/>
          <w:i/>
          <w:iCs/>
          <w:color w:val="000000"/>
          <w:sz w:val="20"/>
          <w:szCs w:val="20"/>
        </w:rPr>
      </w:pPr>
      <w:r>
        <w:rPr>
          <w:rFonts w:ascii="Arial" w:hAnsi="Arial" w:cs="Arial"/>
          <w:color w:val="000000"/>
          <w:sz w:val="20"/>
          <w:szCs w:val="20"/>
        </w:rPr>
        <w:t xml:space="preserve">Rivai, Veithzal dan Andria Permata Veithzal. 2006. </w:t>
      </w:r>
      <w:r>
        <w:rPr>
          <w:rFonts w:ascii="Arial" w:hAnsi="Arial" w:cs="Arial"/>
          <w:b/>
          <w:i/>
          <w:iCs/>
          <w:color w:val="000000"/>
          <w:sz w:val="20"/>
          <w:szCs w:val="20"/>
        </w:rPr>
        <w:t>Credit Management Handbook</w:t>
      </w:r>
      <w:r>
        <w:rPr>
          <w:rFonts w:ascii="Arial" w:hAnsi="Arial" w:cs="Arial"/>
          <w:color w:val="000000"/>
          <w:sz w:val="20"/>
          <w:szCs w:val="20"/>
        </w:rPr>
        <w:t xml:space="preserve">: Teori, Konsep, Prosedur, dan Aplikasi Panduan Praktis Mahasiswa, Bankir, dan Nasabah. Jakarta: PT Raja Grafindo Persada. </w:t>
      </w:r>
    </w:p>
    <w:p>
      <w:pPr>
        <w:tabs>
          <w:tab w:val="left" w:pos="360"/>
          <w:tab w:val="left" w:pos="1080"/>
          <w:tab w:val="left" w:pos="1440"/>
          <w:tab w:val="left" w:pos="1800"/>
          <w:tab w:val="left" w:pos="2160"/>
          <w:tab w:val="left" w:pos="2520"/>
          <w:tab w:val="left" w:pos="288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Riyanto, Bambang. 2001. </w:t>
      </w:r>
      <w:r>
        <w:rPr>
          <w:rFonts w:ascii="Arial" w:hAnsi="Arial" w:cs="Arial"/>
          <w:b/>
          <w:bCs/>
          <w:i/>
          <w:color w:val="000000"/>
          <w:sz w:val="20"/>
          <w:szCs w:val="20"/>
        </w:rPr>
        <w:t>Dasar-dasar Pembelanjaan Perusahaan</w:t>
      </w:r>
      <w:r>
        <w:rPr>
          <w:rFonts w:ascii="Arial" w:hAnsi="Arial" w:cs="Arial"/>
          <w:i/>
          <w:color w:val="000000"/>
          <w:sz w:val="20"/>
          <w:szCs w:val="20"/>
        </w:rPr>
        <w:t>.</w:t>
      </w:r>
      <w:r>
        <w:rPr>
          <w:rFonts w:ascii="Arial" w:hAnsi="Arial" w:cs="Arial"/>
          <w:color w:val="000000"/>
          <w:sz w:val="20"/>
          <w:szCs w:val="20"/>
        </w:rPr>
        <w:t xml:space="preserve"> Edisi 4 Cetakan Ketujuh. Yogyakarta: BPFE.</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Rose. P. S. and Hudgins. S.C. 2009. </w:t>
      </w:r>
      <w:r>
        <w:rPr>
          <w:rFonts w:ascii="Arial" w:hAnsi="Arial" w:cs="Arial"/>
          <w:b/>
          <w:i/>
          <w:iCs/>
          <w:color w:val="000000"/>
          <w:sz w:val="20"/>
          <w:szCs w:val="20"/>
        </w:rPr>
        <w:t>Bank Management &amp; Financial Services.</w:t>
      </w:r>
      <w:r>
        <w:rPr>
          <w:rFonts w:ascii="Arial" w:hAnsi="Arial" w:cs="Arial"/>
          <w:i/>
          <w:iCs/>
          <w:color w:val="000000"/>
          <w:sz w:val="20"/>
          <w:szCs w:val="20"/>
        </w:rPr>
        <w:t xml:space="preserve"> </w:t>
      </w:r>
      <w:r>
        <w:rPr>
          <w:rFonts w:ascii="Arial" w:hAnsi="Arial" w:cs="Arial"/>
          <w:color w:val="000000"/>
          <w:sz w:val="20"/>
          <w:szCs w:val="20"/>
        </w:rPr>
        <w:t>8th ed. New York: McGraw-Hill.</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Shitawati, Artin F. 2006. Analisis Faktor-Faktor yang Berpengaruh Terhadap Capital Adequacy Ratio. </w:t>
      </w:r>
      <w:r>
        <w:rPr>
          <w:rFonts w:ascii="Arial" w:hAnsi="Arial" w:cs="Arial"/>
          <w:b/>
          <w:i/>
          <w:color w:val="000000"/>
          <w:sz w:val="20"/>
          <w:szCs w:val="20"/>
        </w:rPr>
        <w:t>Tesis.</w:t>
      </w:r>
      <w:r>
        <w:rPr>
          <w:rFonts w:ascii="Arial" w:hAnsi="Arial" w:cs="Arial"/>
          <w:color w:val="000000"/>
          <w:sz w:val="20"/>
          <w:szCs w:val="20"/>
        </w:rPr>
        <w:t xml:space="preserve"> Program Studi Magister Manajemen Universitas Diponegoro. </w:t>
      </w:r>
    </w:p>
    <w:p>
      <w:pPr>
        <w:tabs>
          <w:tab w:val="left" w:pos="360"/>
        </w:tabs>
        <w:autoSpaceDE w:val="0"/>
        <w:autoSpaceDN w:val="0"/>
        <w:adjustRightInd w:val="0"/>
        <w:spacing w:after="120" w:line="240" w:lineRule="auto"/>
        <w:ind w:left="426" w:hanging="426"/>
        <w:jc w:val="both"/>
        <w:rPr>
          <w:rFonts w:ascii="Arial" w:hAnsi="Arial" w:cs="Arial"/>
          <w:i/>
          <w:iCs/>
          <w:color w:val="000000"/>
          <w:sz w:val="20"/>
          <w:szCs w:val="20"/>
        </w:rPr>
      </w:pPr>
      <w:r>
        <w:rPr>
          <w:rFonts w:ascii="Arial" w:hAnsi="Arial" w:cs="Arial"/>
          <w:color w:val="000000"/>
          <w:sz w:val="20"/>
          <w:szCs w:val="20"/>
        </w:rPr>
        <w:t xml:space="preserve">Siamat, Dahlan. 1993. </w:t>
      </w:r>
      <w:r>
        <w:rPr>
          <w:rFonts w:ascii="Arial" w:hAnsi="Arial" w:cs="Arial"/>
          <w:b/>
          <w:i/>
          <w:iCs/>
          <w:color w:val="000000"/>
          <w:sz w:val="20"/>
          <w:szCs w:val="20"/>
        </w:rPr>
        <w:t>Manajemen Bank Umum</w:t>
      </w:r>
      <w:r>
        <w:rPr>
          <w:rFonts w:ascii="Arial" w:hAnsi="Arial" w:cs="Arial"/>
          <w:b/>
          <w:color w:val="000000"/>
          <w:sz w:val="20"/>
          <w:szCs w:val="20"/>
        </w:rPr>
        <w:t>.</w:t>
      </w:r>
      <w:r>
        <w:rPr>
          <w:rFonts w:ascii="Arial" w:hAnsi="Arial" w:cs="Arial"/>
          <w:color w:val="000000"/>
          <w:sz w:val="20"/>
          <w:szCs w:val="20"/>
        </w:rPr>
        <w:t xml:space="preserve"> Jakarta: Intermediat Siamat</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______. 2004. </w:t>
      </w:r>
      <w:r>
        <w:rPr>
          <w:rFonts w:ascii="Arial" w:hAnsi="Arial" w:cs="Arial"/>
          <w:b/>
          <w:i/>
          <w:iCs/>
          <w:color w:val="000000"/>
          <w:sz w:val="20"/>
          <w:szCs w:val="20"/>
        </w:rPr>
        <w:t>Manajemen Lembaga Keuangan</w:t>
      </w:r>
      <w:r>
        <w:rPr>
          <w:rFonts w:ascii="Arial" w:hAnsi="Arial" w:cs="Arial"/>
          <w:color w:val="000000"/>
          <w:sz w:val="20"/>
          <w:szCs w:val="20"/>
        </w:rPr>
        <w:t>. Edisi Keempat. Jakarta: Lembaga Penerbit Fakultas Ekonomi Universitas Indonesia.</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Ssenyonga, M. and Prabowo, D. 2006. Bank Risk Level and Bank Capital: The Case of The Indonesian Banking Sector. </w:t>
      </w:r>
      <w:r>
        <w:rPr>
          <w:rFonts w:ascii="Arial" w:hAnsi="Arial" w:cs="Arial"/>
          <w:b/>
          <w:i/>
          <w:iCs/>
          <w:color w:val="000000"/>
          <w:sz w:val="20"/>
          <w:szCs w:val="20"/>
        </w:rPr>
        <w:t>Jurnal Ekonomi dan Bisnis Indonesia</w:t>
      </w:r>
      <w:r>
        <w:rPr>
          <w:rFonts w:ascii="Arial" w:hAnsi="Arial" w:cs="Arial"/>
          <w:color w:val="000000"/>
          <w:sz w:val="20"/>
          <w:szCs w:val="20"/>
        </w:rPr>
        <w:t xml:space="preserve">. Vol. 21. No. 2. </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Surat Edaran Bank Indonesia No. 7/10/DPNP tanggal 31 Maret 2005.</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Surat Edaran Bank Indonesia No. 26/2/BPPP  tanggal 29 Mei 1993.</w:t>
      </w:r>
    </w:p>
    <w:p>
      <w:pPr>
        <w:tabs>
          <w:tab w:val="left" w:pos="36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Surat Keputusan No. 53/KMK/017/1999.</w:t>
      </w:r>
    </w:p>
    <w:p>
      <w:pPr>
        <w:tabs>
          <w:tab w:val="left" w:pos="36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Surat Keputusan No. 3/21/KEP/GBI.</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Surat Keputusan Direksi BI No. 26/20/Kep/DIR.</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Taswan. 2010. </w:t>
      </w:r>
      <w:r>
        <w:rPr>
          <w:rFonts w:ascii="Arial" w:hAnsi="Arial" w:cs="Arial"/>
          <w:b/>
          <w:i/>
          <w:color w:val="000000"/>
          <w:sz w:val="20"/>
          <w:szCs w:val="20"/>
        </w:rPr>
        <w:t>Manajemen Perbankan.</w:t>
      </w:r>
      <w:r>
        <w:rPr>
          <w:rFonts w:ascii="Arial" w:hAnsi="Arial" w:cs="Arial"/>
          <w:color w:val="000000"/>
          <w:sz w:val="20"/>
          <w:szCs w:val="20"/>
        </w:rPr>
        <w:t xml:space="preserve"> Edisi II. Yogyakarta: UPP STIM YKPN</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Warjiyo, P. 2004. </w:t>
      </w:r>
      <w:r>
        <w:rPr>
          <w:rFonts w:ascii="Arial" w:hAnsi="Arial" w:cs="Arial"/>
          <w:b/>
          <w:i/>
          <w:iCs/>
          <w:color w:val="000000"/>
          <w:sz w:val="20"/>
          <w:szCs w:val="20"/>
        </w:rPr>
        <w:t>Bank Indonesia Bank Sentral Republik Indonesia: Sebuah Pengantar</w:t>
      </w:r>
      <w:r>
        <w:rPr>
          <w:rFonts w:ascii="Arial" w:hAnsi="Arial" w:cs="Arial"/>
          <w:color w:val="000000"/>
          <w:sz w:val="20"/>
          <w:szCs w:val="20"/>
        </w:rPr>
        <w:t>. Jakarta: Pusat Pendidikan.</w:t>
      </w:r>
    </w:p>
    <w:p>
      <w:p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Widarjono, Agus. 2009. </w:t>
      </w:r>
      <w:r>
        <w:rPr>
          <w:rFonts w:ascii="Arial" w:hAnsi="Arial" w:cs="Arial"/>
          <w:b/>
          <w:i/>
          <w:color w:val="000000"/>
          <w:sz w:val="20"/>
          <w:szCs w:val="20"/>
        </w:rPr>
        <w:t>Ekonometrika Pengantar dan Aplikasinya.</w:t>
      </w:r>
      <w:r>
        <w:rPr>
          <w:rFonts w:ascii="Arial" w:hAnsi="Arial" w:cs="Arial"/>
          <w:color w:val="000000"/>
          <w:sz w:val="20"/>
          <w:szCs w:val="20"/>
        </w:rPr>
        <w:t xml:space="preserve"> Yogyakarta: Ekonisia.</w:t>
      </w:r>
    </w:p>
    <w:p>
      <w:pPr>
        <w:tabs>
          <w:tab w:val="left" w:pos="360"/>
        </w:tabs>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Wiyono, Gendro. 2011. </w:t>
      </w:r>
      <w:r>
        <w:rPr>
          <w:rFonts w:ascii="Arial" w:hAnsi="Arial" w:cs="Arial"/>
          <w:b/>
          <w:i/>
          <w:color w:val="000000"/>
          <w:sz w:val="20"/>
          <w:szCs w:val="20"/>
        </w:rPr>
        <w:t>3 in One Merancang Penelitian Bisnis dengan Alat Analisis SPSS 17.00 &amp; Smart PLS 2.0</w:t>
      </w:r>
      <w:r>
        <w:rPr>
          <w:rFonts w:ascii="Arial" w:hAnsi="Arial" w:cs="Arial"/>
          <w:color w:val="000000"/>
          <w:sz w:val="20"/>
          <w:szCs w:val="20"/>
        </w:rPr>
        <w:t>. Yogyakarta: STIM YKPN Yogyakarta.</w:t>
      </w:r>
    </w:p>
    <w:p>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120" w:line="240" w:lineRule="auto"/>
        <w:ind w:left="426" w:hanging="426"/>
        <w:jc w:val="both"/>
        <w:rPr>
          <w:rFonts w:ascii="Arial" w:hAnsi="Arial" w:cs="Arial"/>
          <w:color w:val="000000"/>
          <w:sz w:val="20"/>
          <w:szCs w:val="20"/>
        </w:rPr>
      </w:pPr>
      <w:r>
        <w:rPr>
          <w:rFonts w:ascii="Arial" w:hAnsi="Arial" w:cs="Arial"/>
          <w:color w:val="000000"/>
          <w:sz w:val="20"/>
          <w:szCs w:val="20"/>
        </w:rPr>
        <w:t xml:space="preserve">Whalen, G. and Thomson, J.B. 1988. Using Financial Data to Identify Changes in Bank Condition. </w:t>
      </w:r>
      <w:r>
        <w:rPr>
          <w:rFonts w:ascii="Arial" w:hAnsi="Arial" w:cs="Arial"/>
          <w:b/>
          <w:i/>
          <w:iCs/>
          <w:color w:val="000000"/>
          <w:sz w:val="20"/>
          <w:szCs w:val="20"/>
        </w:rPr>
        <w:t>Economic Review Federal Reserve Bank of Cleveland</w:t>
      </w:r>
      <w:r>
        <w:rPr>
          <w:rFonts w:ascii="Arial" w:hAnsi="Arial" w:cs="Arial"/>
          <w:b/>
          <w:color w:val="000000"/>
          <w:sz w:val="20"/>
          <w:szCs w:val="20"/>
        </w:rPr>
        <w:t xml:space="preserve">. </w:t>
      </w:r>
      <w:r>
        <w:rPr>
          <w:rFonts w:ascii="Arial" w:hAnsi="Arial" w:cs="Arial"/>
          <w:color w:val="000000"/>
          <w:sz w:val="20"/>
          <w:szCs w:val="20"/>
        </w:rPr>
        <w:t>Vol. 24. No. 2.</w:t>
      </w:r>
    </w:p>
    <w:p>
      <w:pPr>
        <w:tabs>
          <w:tab w:val="left" w:pos="360"/>
        </w:tabs>
        <w:spacing w:after="120" w:line="240" w:lineRule="auto"/>
        <w:ind w:left="426" w:hanging="426"/>
        <w:jc w:val="both"/>
        <w:rPr>
          <w:rFonts w:ascii="Arial" w:hAnsi="Arial" w:cs="Arial"/>
          <w:color w:val="000000"/>
          <w:sz w:val="20"/>
          <w:szCs w:val="20"/>
        </w:rPr>
      </w:pPr>
      <w:r>
        <w:fldChar w:fldCharType="begin"/>
      </w:r>
      <w:r>
        <w:instrText xml:space="preserve">HYPERLINK "http://www.ekonomisyariah.info/blog/2014/03/06/car-perbankan-syariah-menurun-1223-persen/" </w:instrText>
      </w:r>
      <w:r>
        <w:fldChar w:fldCharType="separate"/>
      </w:r>
      <w:r>
        <w:rPr>
          <w:rStyle w:val="10"/>
          <w:rFonts w:ascii="Arial" w:hAnsi="Arial" w:cs="Arial"/>
          <w:color w:val="000000"/>
          <w:sz w:val="20"/>
          <w:szCs w:val="20"/>
          <w:u w:val="none"/>
        </w:rPr>
        <w:t>www.ekonomisyariah.info/blog/2014/03/06/car-perbankan-syariah-menurun-1223-persen/</w:t>
      </w:r>
      <w:r>
        <w:fldChar w:fldCharType="end"/>
      </w:r>
    </w:p>
    <w:p>
      <w:pPr>
        <w:tabs>
          <w:tab w:val="left" w:pos="360"/>
        </w:tabs>
        <w:spacing w:after="120" w:line="240" w:lineRule="auto"/>
        <w:ind w:left="426" w:hanging="426"/>
        <w:jc w:val="both"/>
        <w:rPr>
          <w:rFonts w:ascii="Arial" w:hAnsi="Arial" w:cs="Arial"/>
          <w:color w:val="000000"/>
          <w:sz w:val="20"/>
          <w:szCs w:val="20"/>
          <w:lang/>
        </w:rPr>
      </w:pPr>
      <w:r>
        <w:fldChar w:fldCharType="begin"/>
      </w:r>
      <w:r>
        <w:instrText xml:space="preserve">HYPERLINK "http://www.ift.co.id/posts/likuiditas-ketat-bank-syariah-tambah-modal/" </w:instrText>
      </w:r>
      <w:r>
        <w:fldChar w:fldCharType="separate"/>
      </w:r>
      <w:r>
        <w:rPr>
          <w:rStyle w:val="10"/>
          <w:rFonts w:ascii="Arial" w:hAnsi="Arial" w:cs="Arial"/>
          <w:color w:val="000000"/>
          <w:sz w:val="20"/>
          <w:szCs w:val="20"/>
          <w:u w:val="none"/>
        </w:rPr>
        <w:t>www.ift.co.id/posts/likuiditas-ketat-bank-syariah-tambah-modal/</w:t>
      </w:r>
      <w:r>
        <w:fldChar w:fldCharType="end"/>
      </w:r>
    </w:p>
    <w:p>
      <w:pPr>
        <w:tabs>
          <w:tab w:val="left" w:pos="360"/>
        </w:tabs>
        <w:spacing w:after="120" w:line="240" w:lineRule="auto"/>
        <w:ind w:left="426" w:hanging="426"/>
        <w:jc w:val="both"/>
        <w:rPr>
          <w:rFonts w:ascii="Arial" w:hAnsi="Arial" w:cs="Arial"/>
          <w:color w:val="000000"/>
          <w:sz w:val="20"/>
          <w:szCs w:val="20"/>
          <w:lang/>
        </w:rPr>
      </w:pPr>
      <w:r>
        <w:fldChar w:fldCharType="begin"/>
      </w:r>
      <w:r>
        <w:instrText xml:space="preserve">HYPERLINK "http://www.tribunnews.com/bisnis/2014/11/19/rasio-kecukupan-modal-bank-syariah-jadi-100-persen/" </w:instrText>
      </w:r>
      <w:r>
        <w:fldChar w:fldCharType="separate"/>
      </w:r>
      <w:r>
        <w:rPr>
          <w:rStyle w:val="10"/>
          <w:rFonts w:ascii="Arial" w:hAnsi="Arial" w:cs="Arial"/>
          <w:color w:val="000000"/>
          <w:sz w:val="20"/>
          <w:szCs w:val="20"/>
          <w:u w:val="none"/>
          <w:lang/>
        </w:rPr>
        <w:t>www.tribunnews.com/bisnis/2014/11/19/rasio-kecukupan-modal-bank-syariah-jadi-100-persen/</w:t>
      </w:r>
      <w:r>
        <w:fldChar w:fldCharType="end"/>
      </w:r>
      <w:r>
        <w:rPr>
          <w:rFonts w:ascii="Arial" w:hAnsi="Arial" w:cs="Arial"/>
          <w:color w:val="000000"/>
          <w:sz w:val="20"/>
          <w:szCs w:val="20"/>
          <w:lang/>
        </w:rPr>
        <w:t xml:space="preserve"> </w:t>
      </w:r>
    </w:p>
    <w:p>
      <w:pPr>
        <w:tabs>
          <w:tab w:val="left" w:pos="360"/>
        </w:tabs>
        <w:spacing w:after="120" w:line="240" w:lineRule="auto"/>
        <w:ind w:left="426" w:hanging="426"/>
        <w:jc w:val="both"/>
        <w:rPr>
          <w:rFonts w:ascii="Arial" w:hAnsi="Arial" w:cs="Arial"/>
          <w:color w:val="000000"/>
          <w:sz w:val="20"/>
          <w:szCs w:val="20"/>
          <w:lang/>
        </w:rPr>
      </w:pPr>
      <w:r>
        <w:fldChar w:fldCharType="begin"/>
      </w:r>
      <w:r>
        <w:instrText xml:space="preserve">HYPERLINK "http://www.muslimdaily.net/berita/rasio-kecukupan-modal-bank-syariah-alami-penurunan.html" </w:instrText>
      </w:r>
      <w:r>
        <w:fldChar w:fldCharType="separate"/>
      </w:r>
      <w:r>
        <w:rPr>
          <w:rStyle w:val="10"/>
          <w:rFonts w:ascii="Arial" w:hAnsi="Arial" w:cs="Arial"/>
          <w:color w:val="000000"/>
          <w:sz w:val="20"/>
          <w:szCs w:val="20"/>
          <w:u w:val="none"/>
          <w:lang/>
        </w:rPr>
        <w:t>www.muslimdaily.net/berita/rasio-kecukupan-modal-bank-syariah-alami-penurunan.html</w:t>
      </w:r>
      <w:r>
        <w:fldChar w:fldCharType="end"/>
      </w:r>
      <w:r>
        <w:rPr>
          <w:rFonts w:ascii="Arial" w:hAnsi="Arial" w:cs="Arial"/>
          <w:color w:val="000000"/>
          <w:sz w:val="20"/>
          <w:szCs w:val="20"/>
          <w:lang/>
        </w:rPr>
        <w:t xml:space="preserve"> </w:t>
      </w:r>
    </w:p>
    <w:p>
      <w:pPr>
        <w:tabs>
          <w:tab w:val="left" w:pos="1875"/>
        </w:tabs>
        <w:spacing w:after="0" w:line="240" w:lineRule="auto"/>
        <w:jc w:val="both"/>
        <w:rPr>
          <w:rFonts w:ascii="Arial" w:hAnsi="Arial" w:cs="Arial"/>
          <w:b/>
          <w:color w:val="000000"/>
          <w:lang/>
        </w:rPr>
      </w:pPr>
    </w:p>
    <w:p>
      <w:pPr>
        <w:tabs>
          <w:tab w:val="left" w:pos="1875"/>
        </w:tabs>
        <w:spacing w:after="0" w:line="240" w:lineRule="auto"/>
        <w:jc w:val="both"/>
        <w:rPr>
          <w:rFonts w:ascii="Arial" w:hAnsi="Arial" w:cs="Arial"/>
          <w:b/>
          <w:color w:val="000000"/>
          <w:lang/>
        </w:rPr>
        <w:sectPr>
          <w:type w:val="continuous"/>
          <w:pgSz w:w="11906" w:h="16838"/>
          <w:pgMar w:top="1701" w:right="1701" w:bottom="1701" w:left="1701" w:header="708" w:footer="587" w:gutter="0"/>
          <w:cols w:space="397" w:num="2"/>
          <w:docGrid w:linePitch="360" w:charSpace="0"/>
        </w:sectPr>
      </w:pPr>
    </w:p>
    <w:p>
      <w:pPr>
        <w:tabs>
          <w:tab w:val="left" w:pos="1875"/>
        </w:tabs>
        <w:spacing w:after="0" w:line="240" w:lineRule="auto"/>
        <w:jc w:val="both"/>
        <w:rPr>
          <w:rFonts w:ascii="Arial" w:hAnsi="Arial" w:cs="Arial"/>
          <w:b/>
          <w:color w:val="000000"/>
          <w:lang/>
        </w:rPr>
        <w:sectPr>
          <w:type w:val="continuous"/>
          <w:pgSz w:w="11906" w:h="16838"/>
          <w:pgMar w:top="1701" w:right="1701" w:bottom="1701" w:left="1701" w:header="708" w:footer="587" w:gutter="0"/>
          <w:cols w:space="397" w:num="2"/>
          <w:docGrid w:linePitch="360" w:charSpace="0"/>
        </w:sectPr>
      </w:pPr>
    </w:p>
    <w:p>
      <w:pPr>
        <w:spacing w:before="120" w:line="240" w:lineRule="auto"/>
        <w:ind w:left="567" w:hanging="567"/>
        <w:jc w:val="both"/>
        <w:rPr>
          <w:rFonts w:ascii="Arial" w:hAnsi="Arial" w:cs="Arial"/>
          <w:color w:val="000000"/>
          <w:sz w:val="20"/>
        </w:rPr>
      </w:pPr>
      <w:bookmarkStart w:id="0" w:name="_GoBack"/>
      <w:bookmarkEnd w:id="0"/>
    </w:p>
    <w:p>
      <w:pPr>
        <w:spacing w:before="120" w:line="240" w:lineRule="auto"/>
        <w:rPr>
          <w:rFonts w:ascii="Arial" w:hAnsi="Arial" w:cs="Arial"/>
          <w:color w:val="000000"/>
          <w:sz w:val="20"/>
        </w:rPr>
      </w:pPr>
    </w:p>
    <w:p>
      <w:pPr>
        <w:autoSpaceDE w:val="0"/>
        <w:autoSpaceDN w:val="0"/>
        <w:adjustRightInd w:val="0"/>
        <w:spacing w:before="120" w:after="0" w:line="240" w:lineRule="auto"/>
        <w:ind w:left="851" w:hanging="851"/>
        <w:jc w:val="both"/>
        <w:rPr>
          <w:rFonts w:ascii="Arial" w:hAnsi="Arial" w:cs="Arial"/>
          <w:color w:val="000000"/>
        </w:rPr>
      </w:pPr>
    </w:p>
    <w:sectPr>
      <w:footerReference r:id="rId5" w:type="default"/>
      <w:type w:val="continuous"/>
      <w:pgSz w:w="11906" w:h="16838"/>
      <w:pgMar w:top="1701" w:right="1701" w:bottom="1701" w:left="1701" w:header="708" w:footer="587" w:gutter="0"/>
      <w:cols w:space="397" w:num="2"/>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2FF" w:usb1="400004FF" w:usb2="00000000" w:usb3="00000000" w:csb0="2000019F" w:csb1="00000000"/>
  </w:font>
  <w:font w:name="Arial Unicode MS">
    <w:altName w:val="Arial"/>
    <w:panose1 w:val="020B0604020202020204"/>
    <w:charset w:val="80"/>
    <w:family w:val="auto"/>
    <w:pitch w:val="default"/>
    <w:sig w:usb0="F7FFAFFF" w:usb1="E9DFFFFF" w:usb2="0000003F" w:usb3="00000000" w:csb0="003F01FF" w:csb1="00000000"/>
  </w:font>
  <w:font w:name="AngsanaUPC">
    <w:panose1 w:val="02020603050405020304"/>
    <w:charset w:val="00"/>
    <w:family w:val="auto"/>
    <w:pitch w:val="default"/>
    <w:sig w:usb0="81000003" w:usb1="00000000" w:usb2="00000000" w:usb3="00000000" w:csb0="00010001" w:csb1="00000000"/>
  </w:font>
  <w:font w:name="TimesNewRomanPSMT">
    <w:altName w:val="Times New Roman"/>
    <w:panose1 w:val="00000000000000000000"/>
    <w:charset w:val="00"/>
    <w:family w:val="auto"/>
    <w:pitch w:val="default"/>
    <w:sig w:usb0="00000083" w:usb1="00000000" w:usb2="00000000" w:usb3="00000000" w:csb0="00000009" w:csb1="00000000"/>
  </w:font>
  <w:font w:name="Perpetua">
    <w:altName w:val="PMingLiU-ExtB"/>
    <w:panose1 w:val="02020502060401020303"/>
    <w:charset w:val="00"/>
    <w:family w:val="auto"/>
    <w:pitch w:val="default"/>
    <w:sig w:usb0="00000003" w:usb1="00000000" w:usb2="00000000" w:usb3="00000000" w:csb0="00000001" w:csb1="00000000"/>
  </w:font>
  <w:font w:name="PMingLiU-ExtB">
    <w:panose1 w:val="02020500000000000000"/>
    <w:charset w:val="00"/>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Bdr>
        <w:top w:val="thinThickSmallGap" w:color="622423" w:sz="24" w:space="1"/>
      </w:pBdr>
      <w:rPr>
        <w:rFonts w:ascii="Cambria" w:hAnsi="Cambria"/>
        <w:sz w:val="20"/>
        <w:szCs w:val="20"/>
      </w:rPr>
    </w:pPr>
    <w:r>
      <w:rPr>
        <w:rFonts w:ascii="Cambria" w:hAnsi="Cambria"/>
        <w:i/>
        <w:sz w:val="20"/>
        <w:szCs w:val="20"/>
      </w:rPr>
      <w:t xml:space="preserve">Jurnal Sains Ekonomi dan Perbankan Syariah Vol 5, Nomor 1, Juli 2015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Bdr>
        <w:top w:val="thinThickSmallGap" w:color="622423" w:sz="24" w:space="1"/>
      </w:pBdr>
      <w:rPr>
        <w:rFonts w:ascii="Cambria" w:hAnsi="Cambria"/>
      </w:rPr>
    </w:pPr>
    <w:r>
      <w:rPr>
        <w:rFonts w:ascii="Cambria" w:hAnsi="Cambria"/>
        <w:i/>
        <w:sz w:val="20"/>
        <w:szCs w:val="20"/>
      </w:rPr>
      <w:t xml:space="preserve">Jurnal Sains Ekonomi dan Perbankan Syariah Vol 5, Nomor 1, Juli 2015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96</w:t>
    </w:r>
    <w:r>
      <w:rPr>
        <w:rFonts w:ascii="Times New Roman" w:hAnsi="Times New Roman" w:cs="Times New Roman"/>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522062575">
    <w:nsid w:val="1F1E0AEF"/>
    <w:multiLevelType w:val="multilevel"/>
    <w:tmpl w:val="1F1E0AEF"/>
    <w:lvl w:ilvl="0" w:tentative="1">
      <w:start w:val="1"/>
      <w:numFmt w:val="decimal"/>
      <w:lvlText w:val="%1."/>
      <w:lvlJc w:val="left"/>
      <w:pPr>
        <w:ind w:left="720" w:hanging="360"/>
      </w:pPr>
      <w:rPr>
        <w:rFonts w:hint="default" w:eastAsia="Calibri"/>
        <w:color w:val="1A1A1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80942577">
    <w:nsid w:val="5E3B44F1"/>
    <w:multiLevelType w:val="multilevel"/>
    <w:tmpl w:val="5E3B44F1"/>
    <w:lvl w:ilvl="0" w:tentative="1">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16365360">
    <w:nsid w:val="18D13B30"/>
    <w:multiLevelType w:val="multilevel"/>
    <w:tmpl w:val="18D13B30"/>
    <w:lvl w:ilvl="0" w:tentative="1">
      <w:start w:val="1"/>
      <w:numFmt w:val="decimal"/>
      <w:lvlText w:val="%1."/>
      <w:lvlJc w:val="left"/>
      <w:pPr>
        <w:ind w:left="720" w:hanging="360"/>
      </w:pPr>
      <w:rPr>
        <w:rFonts w:ascii="Times New Roman" w:hAnsi="Times New Roman" w:eastAsia="Calibri" w:cs="Times New Roman"/>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416365360"/>
  </w:num>
  <w:num w:numId="2">
    <w:abstractNumId w:val="522062575"/>
  </w:num>
  <w:num w:numId="3">
    <w:abstractNumId w:val="15809425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720"/>
  <w:drawingGridHorizontalSpacing w:val="0"/>
  <w:displayHorizontalDrawingGridEvery w:val="2"/>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99" w:name="Balloon Text"/>
  </w:latentStyles>
  <w:style w:type="paragraph" w:default="1" w:styleId="1">
    <w:name w:val="Normal"/>
    <w:qFormat/>
    <w:uiPriority w:val="0"/>
    <w:pPr>
      <w:spacing w:after="200" w:line="276" w:lineRule="auto"/>
    </w:pPr>
    <w:rPr>
      <w:rFonts w:ascii="Calibri" w:hAnsi="Calibri" w:eastAsia="Calibri"/>
      <w:sz w:val="22"/>
      <w:szCs w:val="22"/>
      <w:lang w:val="en-US" w:eastAsia="en-US" w:bidi="ar-SA"/>
    </w:rPr>
  </w:style>
  <w:style w:type="paragraph" w:styleId="2">
    <w:name w:val="heading 1"/>
    <w:basedOn w:val="1"/>
    <w:next w:val="1"/>
    <w:link w:val="16"/>
    <w:qFormat/>
    <w:uiPriority w:val="9"/>
    <w:pPr>
      <w:keepNext/>
      <w:spacing w:before="240" w:after="60" w:line="259" w:lineRule="auto"/>
      <w:outlineLvl w:val="0"/>
    </w:pPr>
    <w:rPr>
      <w:rFonts w:ascii="Calibri Light" w:hAnsi="Calibri Light" w:eastAsia="Times New Roman" w:cs="Times New Roman"/>
      <w:b/>
      <w:bCs/>
      <w:kern w:val="32"/>
      <w:sz w:val="32"/>
      <w:szCs w:val="32"/>
    </w:rPr>
  </w:style>
  <w:style w:type="paragraph" w:styleId="3">
    <w:name w:val="heading 2"/>
    <w:basedOn w:val="1"/>
    <w:link w:val="17"/>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default="1" w:styleId="8">
    <w:name w:val="Default Paragraph Font"/>
    <w:semiHidden/>
    <w:unhideWhenUsed/>
    <w:uiPriority w:val="1"/>
  </w:style>
  <w:style w:type="paragraph" w:styleId="4">
    <w:name w:val="Balloon Text"/>
    <w:basedOn w:val="1"/>
    <w:link w:val="21"/>
    <w:semiHidden/>
    <w:unhideWhenUsed/>
    <w:uiPriority w:val="99"/>
    <w:pPr>
      <w:spacing w:after="0" w:line="240" w:lineRule="auto"/>
    </w:pPr>
    <w:rPr>
      <w:rFonts w:ascii="Tahoma" w:hAnsi="Tahoma" w:cs="Tahoma"/>
      <w:sz w:val="16"/>
      <w:szCs w:val="16"/>
    </w:rPr>
  </w:style>
  <w:style w:type="paragraph" w:styleId="5">
    <w:name w:val="footer"/>
    <w:basedOn w:val="1"/>
    <w:link w:val="19"/>
    <w:unhideWhenUsed/>
    <w:uiPriority w:val="99"/>
    <w:pPr>
      <w:tabs>
        <w:tab w:val="center" w:pos="4680"/>
        <w:tab w:val="right" w:pos="9360"/>
      </w:tabs>
      <w:spacing w:after="0" w:line="240" w:lineRule="auto"/>
    </w:pPr>
  </w:style>
  <w:style w:type="paragraph" w:styleId="6">
    <w:name w:val="header"/>
    <w:basedOn w:val="1"/>
    <w:link w:val="18"/>
    <w:unhideWhenUsed/>
    <w:uiPriority w:val="99"/>
    <w:pPr>
      <w:tabs>
        <w:tab w:val="center" w:pos="4680"/>
        <w:tab w:val="right" w:pos="9360"/>
      </w:tabs>
      <w:spacing w:after="0" w:line="240" w:lineRule="auto"/>
    </w:p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9">
    <w:name w:val="Emphasis"/>
    <w:basedOn w:val="8"/>
    <w:qFormat/>
    <w:uiPriority w:val="20"/>
    <w:rPr>
      <w:i/>
      <w:iCs/>
    </w:rPr>
  </w:style>
  <w:style w:type="character" w:styleId="10">
    <w:name w:val="Hyperlink"/>
    <w:basedOn w:val="8"/>
    <w:unhideWhenUsed/>
    <w:uiPriority w:val="99"/>
    <w:rPr>
      <w:color w:val="0000FF"/>
      <w:u w:val="single"/>
    </w:rPr>
  </w:style>
  <w:style w:type="character" w:styleId="11">
    <w:name w:val="Strong"/>
    <w:basedOn w:val="8"/>
    <w:qFormat/>
    <w:uiPriority w:val="22"/>
    <w:rPr>
      <w:b/>
      <w:bCs/>
    </w:rPr>
  </w:style>
  <w:style w:type="paragraph" w:customStyle="1" w:styleId="12">
    <w:name w:val="List Paragraph"/>
    <w:basedOn w:val="1"/>
    <w:link w:val="20"/>
    <w:qFormat/>
    <w:uiPriority w:val="34"/>
    <w:pPr>
      <w:ind w:left="720"/>
      <w:contextualSpacing/>
    </w:pPr>
  </w:style>
  <w:style w:type="paragraph" w:customStyle="1" w:styleId="13">
    <w:name w:val="ms-rtefontsize-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4">
    <w:name w:val="Default"/>
    <w:uiPriority w:val="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5">
    <w:name w:val="Normal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6">
    <w:name w:val="Heading 1 Char"/>
    <w:basedOn w:val="8"/>
    <w:link w:val="2"/>
    <w:uiPriority w:val="9"/>
    <w:rPr>
      <w:rFonts w:ascii="Calibri Light" w:hAnsi="Calibri Light" w:eastAsia="Times New Roman" w:cs="Times New Roman"/>
      <w:b/>
      <w:bCs/>
      <w:kern w:val="32"/>
      <w:sz w:val="32"/>
      <w:szCs w:val="32"/>
    </w:rPr>
  </w:style>
  <w:style w:type="character" w:customStyle="1" w:styleId="17">
    <w:name w:val="Heading 2 Char"/>
    <w:basedOn w:val="8"/>
    <w:link w:val="3"/>
    <w:uiPriority w:val="9"/>
    <w:rPr>
      <w:rFonts w:ascii="Times New Roman" w:hAnsi="Times New Roman" w:eastAsia="Times New Roman" w:cs="Times New Roman"/>
      <w:b/>
      <w:bCs/>
      <w:sz w:val="36"/>
      <w:szCs w:val="36"/>
    </w:rPr>
  </w:style>
  <w:style w:type="character" w:customStyle="1" w:styleId="18">
    <w:name w:val="Header Char"/>
    <w:basedOn w:val="8"/>
    <w:link w:val="6"/>
    <w:uiPriority w:val="99"/>
    <w:rPr/>
  </w:style>
  <w:style w:type="character" w:customStyle="1" w:styleId="19">
    <w:name w:val="Footer Char"/>
    <w:basedOn w:val="8"/>
    <w:link w:val="5"/>
    <w:uiPriority w:val="99"/>
    <w:rPr/>
  </w:style>
  <w:style w:type="character" w:customStyle="1" w:styleId="20">
    <w:name w:val="List Paragraph Char"/>
    <w:link w:val="12"/>
    <w:uiPriority w:val="34"/>
  </w:style>
  <w:style w:type="character" w:customStyle="1" w:styleId="21">
    <w:name w:val="Balloon Text Char"/>
    <w:basedOn w:val="8"/>
    <w:link w:val="4"/>
    <w:semiHidden/>
    <w:uiPriority w:val="99"/>
    <w:rPr>
      <w:rFonts w:ascii="Tahoma" w:hAnsi="Tahoma" w:cs="Tahoma"/>
      <w:sz w:val="16"/>
      <w:szCs w:val="16"/>
    </w:rPr>
  </w:style>
  <w:style w:type="character" w:customStyle="1" w:styleId="22">
    <w:name w:val="apple-converted-space"/>
    <w:basedOn w:val="8"/>
    <w:uiPriority w:val="0"/>
    <w:rPr/>
  </w:style>
  <w:style w:type="character" w:customStyle="1" w:styleId="23">
    <w:name w:val="normal__char"/>
    <w:basedOn w:val="8"/>
    <w:uiPriority w:val="0"/>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2" Type="http://schemas.openxmlformats.org/officeDocument/2006/relationships/styles" Target="styles.xml"/><Relationship Id="rId20" Type="http://schemas.openxmlformats.org/officeDocument/2006/relationships/customXml" Target="../customXml/item1.xml"/><Relationship Id="rId21"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theme" Target="theme/theme1.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96</Pages>
  <Words>41382</Words>
  <Characters>235878</Characters>
  <Lines>1965</Lines>
  <Paragraphs>553</Paragraphs>
  <TotalTime>0</TotalTime>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2015-09-08T08:44:00Z</dcterms:created>
  <dc:creator>Windows7</dc:creator>
  <cp:lastModifiedBy>WIN8.1</cp:lastModifiedBy>
  <cp:lastPrinted>2015-09-11T06:06:00Z</cp:lastPrinted>
  <dcterms:modified xsi:type="dcterms:W3CDTF">2016-03-18T10:26:40Z</dcterms:modified>
  <dc:title>THE EFFECT OF ASSET QUALITY, PROFITABILITY, LIQUIDITY, AND EFFICIENCY TOWARD CAPITAL ADEQUACY SHARIA COMMERCIAL BANKS IN INDONESIA PERIOD 2010-2014</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